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92472B" w:rsidP="00194AA6">
      <w:pPr>
        <w:jc w:val="center"/>
      </w:pPr>
      <w:r>
        <w:rPr>
          <w:noProof/>
        </w:rPr>
        <w:drawing>
          <wp:inline distT="0" distB="0" distL="0" distR="0">
            <wp:extent cx="1711960" cy="1122045"/>
            <wp:effectExtent l="19050" t="0" r="254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1960" cy="1122045"/>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194AA6" w:rsidRDefault="00193F10" w:rsidP="00EF6618">
      <w:pPr>
        <w:jc w:val="center"/>
        <w:rPr>
          <w:b/>
          <w:sz w:val="22"/>
          <w:szCs w:val="22"/>
        </w:rPr>
      </w:pPr>
      <w:r w:rsidRPr="00194AA6">
        <w:rPr>
          <w:b/>
          <w:sz w:val="22"/>
          <w:szCs w:val="22"/>
        </w:rPr>
        <w:t>TECHNICAL EVALUATION</w:t>
      </w:r>
    </w:p>
    <w:p w:rsidR="00193F10" w:rsidRPr="00194AA6" w:rsidRDefault="00193F10" w:rsidP="00194AA6">
      <w:pPr>
        <w:jc w:val="center"/>
        <w:rPr>
          <w:b/>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EF6618" w:rsidRDefault="00194AA6" w:rsidP="00EF6618">
      <w:pPr>
        <w:spacing w:after="120"/>
        <w:jc w:val="center"/>
        <w:rPr>
          <w:b/>
          <w:bCs/>
          <w:sz w:val="22"/>
          <w:szCs w:val="22"/>
        </w:rPr>
      </w:pPr>
      <w:r w:rsidRPr="00EF6618">
        <w:rPr>
          <w:b/>
          <w:bCs/>
          <w:sz w:val="22"/>
          <w:szCs w:val="22"/>
        </w:rPr>
        <w:t>APPLICANT</w:t>
      </w:r>
    </w:p>
    <w:p w:rsidR="00EF6618" w:rsidRDefault="00EF6618" w:rsidP="00EF6618">
      <w:pPr>
        <w:widowControl w:val="0"/>
        <w:jc w:val="center"/>
        <w:rPr>
          <w:sz w:val="22"/>
          <w:szCs w:val="22"/>
        </w:rPr>
      </w:pPr>
      <w:r>
        <w:rPr>
          <w:sz w:val="22"/>
          <w:szCs w:val="22"/>
        </w:rPr>
        <w:t>Tampa Electric Company</w:t>
      </w:r>
    </w:p>
    <w:p w:rsidR="00EF6618" w:rsidRPr="000E6707" w:rsidRDefault="00EF6618" w:rsidP="00EF6618">
      <w:pPr>
        <w:widowControl w:val="0"/>
        <w:jc w:val="center"/>
        <w:rPr>
          <w:sz w:val="22"/>
          <w:szCs w:val="22"/>
          <w:highlight w:val="yellow"/>
        </w:rPr>
      </w:pPr>
      <w:r w:rsidRPr="00B32FD3">
        <w:rPr>
          <w:sz w:val="22"/>
          <w:szCs w:val="22"/>
        </w:rPr>
        <w:t>Post Office Box 111</w:t>
      </w:r>
    </w:p>
    <w:p w:rsidR="00194AA6" w:rsidRPr="00746205" w:rsidRDefault="00EF6618" w:rsidP="00EF6618">
      <w:pPr>
        <w:widowControl w:val="0"/>
        <w:jc w:val="center"/>
        <w:rPr>
          <w:sz w:val="22"/>
          <w:szCs w:val="22"/>
        </w:rPr>
      </w:pPr>
      <w:r>
        <w:rPr>
          <w:sz w:val="22"/>
          <w:szCs w:val="22"/>
        </w:rPr>
        <w:t>Tampa, Florida 33601-0111</w:t>
      </w:r>
    </w:p>
    <w:p w:rsidR="00194AA6" w:rsidRDefault="00194AA6" w:rsidP="00194AA6">
      <w:pPr>
        <w:widowControl w:val="0"/>
        <w:jc w:val="center"/>
        <w:rPr>
          <w:sz w:val="22"/>
          <w:szCs w:val="22"/>
          <w:highlight w:val="yellow"/>
        </w:rPr>
      </w:pPr>
    </w:p>
    <w:p w:rsidR="00EF6618" w:rsidRPr="00746205" w:rsidRDefault="00EF6618" w:rsidP="00EF6618">
      <w:pPr>
        <w:widowControl w:val="0"/>
        <w:jc w:val="center"/>
        <w:rPr>
          <w:sz w:val="22"/>
          <w:szCs w:val="22"/>
        </w:rPr>
      </w:pPr>
      <w:r>
        <w:rPr>
          <w:sz w:val="22"/>
          <w:szCs w:val="22"/>
        </w:rPr>
        <w:t>Big Bend Station</w:t>
      </w:r>
    </w:p>
    <w:p w:rsidR="00194AA6" w:rsidRDefault="00EF6618" w:rsidP="00EF6618">
      <w:pPr>
        <w:widowControl w:val="0"/>
        <w:jc w:val="center"/>
        <w:rPr>
          <w:sz w:val="22"/>
          <w:szCs w:val="22"/>
        </w:rPr>
      </w:pPr>
      <w:r w:rsidRPr="00746205">
        <w:rPr>
          <w:sz w:val="22"/>
          <w:szCs w:val="22"/>
        </w:rPr>
        <w:t xml:space="preserve">Facility ID No. </w:t>
      </w:r>
      <w:r>
        <w:rPr>
          <w:sz w:val="22"/>
          <w:szCs w:val="22"/>
        </w:rPr>
        <w:t>0570039</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Default="00193F10" w:rsidP="00EF6618">
      <w:pPr>
        <w:spacing w:after="120"/>
        <w:jc w:val="center"/>
        <w:rPr>
          <w:bCs/>
        </w:rPr>
      </w:pPr>
      <w:r w:rsidRPr="00EF6618">
        <w:rPr>
          <w:b/>
          <w:bCs/>
          <w:sz w:val="22"/>
          <w:szCs w:val="22"/>
        </w:rPr>
        <w:t>PROJECT</w:t>
      </w:r>
    </w:p>
    <w:p w:rsidR="00193F10" w:rsidRDefault="00193F10" w:rsidP="00EF6618">
      <w:pPr>
        <w:jc w:val="center"/>
        <w:rPr>
          <w:sz w:val="22"/>
        </w:rPr>
      </w:pPr>
      <w:r w:rsidRPr="00EF6618">
        <w:rPr>
          <w:sz w:val="22"/>
        </w:rPr>
        <w:t>P</w:t>
      </w:r>
      <w:r w:rsidR="00194AA6" w:rsidRPr="00EF6618">
        <w:rPr>
          <w:sz w:val="22"/>
        </w:rPr>
        <w:t>roject</w:t>
      </w:r>
      <w:r w:rsidRPr="00EF6618">
        <w:rPr>
          <w:sz w:val="22"/>
        </w:rPr>
        <w:t xml:space="preserve"> No. </w:t>
      </w:r>
      <w:r w:rsidR="00EF6618" w:rsidRPr="00EF6618">
        <w:rPr>
          <w:sz w:val="22"/>
        </w:rPr>
        <w:t>0570039-077</w:t>
      </w:r>
      <w:r w:rsidR="008603FF" w:rsidRPr="00EF6618">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Default="00EF6618" w:rsidP="00194AA6">
      <w:pPr>
        <w:jc w:val="center"/>
        <w:rPr>
          <w:sz w:val="22"/>
        </w:rPr>
      </w:pPr>
      <w:r>
        <w:rPr>
          <w:sz w:val="22"/>
          <w:szCs w:val="22"/>
        </w:rPr>
        <w:t xml:space="preserve">Temporary Unloading of New </w:t>
      </w:r>
      <w:r w:rsidRPr="006C5246">
        <w:rPr>
          <w:sz w:val="22"/>
          <w:szCs w:val="22"/>
        </w:rPr>
        <w:t>Limestone</w:t>
      </w:r>
    </w:p>
    <w:p w:rsidR="00193F10" w:rsidRDefault="00193F10" w:rsidP="00194AA6">
      <w:pPr>
        <w:jc w:val="center"/>
        <w:rPr>
          <w:sz w:val="22"/>
        </w:rPr>
      </w:pPr>
    </w:p>
    <w:p w:rsidR="00193F10" w:rsidRDefault="00193F10" w:rsidP="00EF6618">
      <w:pPr>
        <w:spacing w:after="120"/>
        <w:jc w:val="center"/>
        <w:rPr>
          <w:bCs/>
        </w:rPr>
      </w:pPr>
      <w:r w:rsidRPr="00EF6618">
        <w:rPr>
          <w:b/>
          <w:bCs/>
          <w:sz w:val="22"/>
          <w:szCs w:val="22"/>
        </w:rPr>
        <w:t>COUNTY</w:t>
      </w:r>
    </w:p>
    <w:p w:rsidR="00193F10" w:rsidRPr="001D487F" w:rsidRDefault="00EF6618" w:rsidP="00194AA6">
      <w:pPr>
        <w:jc w:val="center"/>
        <w:rPr>
          <w:sz w:val="22"/>
        </w:rPr>
      </w:pPr>
      <w:r>
        <w:rPr>
          <w:sz w:val="22"/>
        </w:rPr>
        <w:t>Hillsborough</w:t>
      </w:r>
      <w:r w:rsidR="001D1649" w:rsidRPr="001D1649">
        <w:rPr>
          <w:sz w:val="22"/>
        </w:rPr>
        <w:t xml:space="preserve"> </w:t>
      </w:r>
      <w:r w:rsidR="00193F10" w:rsidRPr="001D1649">
        <w:rPr>
          <w:sz w:val="22"/>
        </w:rPr>
        <w:t>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Pr="00EF6618" w:rsidRDefault="00193F10" w:rsidP="00EF6618">
      <w:pPr>
        <w:spacing w:after="120"/>
        <w:jc w:val="center"/>
        <w:rPr>
          <w:b/>
          <w:sz w:val="22"/>
          <w:szCs w:val="22"/>
        </w:rPr>
      </w:pPr>
      <w:r w:rsidRPr="00EF6618">
        <w:rPr>
          <w:b/>
          <w:bCs/>
          <w:sz w:val="22"/>
          <w:szCs w:val="22"/>
        </w:rPr>
        <w:t>PERMITTING</w:t>
      </w:r>
      <w:r w:rsidR="001D487F" w:rsidRPr="00EF6618">
        <w:rPr>
          <w:b/>
          <w:sz w:val="22"/>
          <w:szCs w:val="22"/>
        </w:rPr>
        <w:t xml:space="preserve"> </w:t>
      </w:r>
      <w:r w:rsidRPr="00EF6618">
        <w:rPr>
          <w:b/>
          <w:sz w:val="22"/>
          <w:szCs w:val="22"/>
        </w:rP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84EEB"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w:t>
      </w:r>
      <w:r w:rsidR="00567D37">
        <w:rPr>
          <w:sz w:val="22"/>
          <w:szCs w:val="22"/>
        </w:rPr>
        <w:t>s</w:t>
      </w:r>
      <w:r>
        <w:rPr>
          <w:sz w:val="22"/>
          <w:szCs w:val="22"/>
        </w:rPr>
        <w:t>tone Road, MS#5505</w:t>
      </w:r>
    </w:p>
    <w:p w:rsidR="00194AA6" w:rsidRDefault="00194AA6" w:rsidP="00194AA6">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EF6618" w:rsidP="00194AA6">
      <w:pPr>
        <w:jc w:val="center"/>
        <w:rPr>
          <w:sz w:val="22"/>
        </w:rPr>
      </w:pPr>
      <w:r>
        <w:rPr>
          <w:sz w:val="22"/>
        </w:rPr>
        <w:t xml:space="preserve">February </w:t>
      </w:r>
      <w:r w:rsidR="009A5405">
        <w:rPr>
          <w:sz w:val="22"/>
        </w:rPr>
        <w:t>24</w:t>
      </w:r>
      <w:r>
        <w:rPr>
          <w:sz w:val="22"/>
        </w:rPr>
        <w:t>, 2015</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026723" w:rsidRDefault="00193F10" w:rsidP="009A5405">
      <w:pPr>
        <w:pStyle w:val="ListParagraph"/>
        <w:numPr>
          <w:ilvl w:val="0"/>
          <w:numId w:val="8"/>
        </w:numPr>
        <w:spacing w:after="120"/>
        <w:ind w:left="720" w:hanging="720"/>
        <w:contextualSpacing w:val="0"/>
        <w:rPr>
          <w:b/>
          <w:caps/>
          <w:sz w:val="22"/>
        </w:rPr>
      </w:pPr>
      <w:r w:rsidRPr="00026723">
        <w:rPr>
          <w:b/>
          <w:caps/>
          <w:sz w:val="22"/>
        </w:rPr>
        <w:lastRenderedPageBreak/>
        <w:t>General Project INFORMATION</w:t>
      </w:r>
    </w:p>
    <w:p w:rsidR="00EE6112" w:rsidRPr="009A5405" w:rsidRDefault="00EE6112" w:rsidP="009A5405">
      <w:pPr>
        <w:pStyle w:val="ListParagraph"/>
        <w:numPr>
          <w:ilvl w:val="1"/>
          <w:numId w:val="8"/>
        </w:numPr>
        <w:spacing w:after="120"/>
        <w:ind w:left="720" w:hanging="720"/>
        <w:rPr>
          <w:b/>
          <w:bCs/>
          <w:sz w:val="22"/>
          <w:szCs w:val="22"/>
        </w:rPr>
      </w:pPr>
      <w:r w:rsidRPr="009A5405">
        <w:rPr>
          <w:b/>
          <w:bCs/>
          <w:sz w:val="22"/>
          <w:szCs w:val="22"/>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884EEB">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193F10" w:rsidRPr="009A5405" w:rsidRDefault="00193F10" w:rsidP="009A5405">
      <w:pPr>
        <w:pStyle w:val="ListParagraph"/>
        <w:numPr>
          <w:ilvl w:val="1"/>
          <w:numId w:val="8"/>
        </w:numPr>
        <w:spacing w:after="120"/>
        <w:ind w:left="720" w:hanging="720"/>
        <w:rPr>
          <w:b/>
          <w:bCs/>
          <w:sz w:val="22"/>
          <w:szCs w:val="22"/>
        </w:rPr>
      </w:pPr>
      <w:r w:rsidRPr="009A5405">
        <w:rPr>
          <w:b/>
          <w:bCs/>
          <w:sz w:val="22"/>
          <w:szCs w:val="22"/>
        </w:rPr>
        <w:t>Facility Description and Location</w:t>
      </w:r>
    </w:p>
    <w:p w:rsidR="00EF6618" w:rsidRDefault="00EF6618" w:rsidP="00EF6618">
      <w:pPr>
        <w:pStyle w:val="BodyText3"/>
        <w:numPr>
          <w:ilvl w:val="12"/>
          <w:numId w:val="0"/>
        </w:numPr>
        <w:spacing w:before="0"/>
      </w:pPr>
      <w:r>
        <w:t xml:space="preserve">Tampa Electric Company (TEC), Big Bend Station </w:t>
      </w:r>
      <w:r w:rsidRPr="00322633">
        <w:t xml:space="preserve">is </w:t>
      </w:r>
      <w:r w:rsidRPr="00322633">
        <w:rPr>
          <w:szCs w:val="22"/>
        </w:rPr>
        <w:t xml:space="preserve">an electric power </w:t>
      </w:r>
      <w:r>
        <w:rPr>
          <w:szCs w:val="22"/>
        </w:rPr>
        <w:t xml:space="preserve">facility consisting of four key fossil fuel fired steam generating units (Units 1 – 4).  The facility </w:t>
      </w:r>
      <w:r w:rsidRPr="007B0A71">
        <w:t xml:space="preserve">is categorized under </w:t>
      </w:r>
      <w:r w:rsidRPr="007B0A71">
        <w:rPr>
          <w:bCs/>
        </w:rPr>
        <w:t xml:space="preserve">Standard Industrial Classification Code No. </w:t>
      </w:r>
      <w:r w:rsidRPr="00DF0A05">
        <w:rPr>
          <w:bCs/>
        </w:rPr>
        <w:t xml:space="preserve"> 4911. </w:t>
      </w:r>
      <w:r w:rsidRPr="00DF0A05">
        <w:t xml:space="preserve"> T</w:t>
      </w:r>
      <w:r w:rsidRPr="00DF0A05">
        <w:rPr>
          <w:szCs w:val="22"/>
        </w:rPr>
        <w:t>he existing Big Bend Station is located in Hillsborough County at 13031 Wyandotte Road in Apollo Beach, Florida</w:t>
      </w:r>
      <w:r w:rsidRPr="00DF0A05">
        <w:t xml:space="preserve">.  The UTM coordinates of the existing facility are Zone 17, 363.15 </w:t>
      </w:r>
      <w:r>
        <w:rPr>
          <w:szCs w:val="22"/>
        </w:rPr>
        <w:t>kilometers (</w:t>
      </w:r>
      <w:r w:rsidRPr="000472DA">
        <w:rPr>
          <w:szCs w:val="22"/>
        </w:rPr>
        <w:t>km</w:t>
      </w:r>
      <w:r>
        <w:rPr>
          <w:szCs w:val="22"/>
        </w:rPr>
        <w:t>)</w:t>
      </w:r>
      <w:r w:rsidRPr="00DF0A05">
        <w:t xml:space="preserve"> East, and 3074.91 km North.  This site is in an area that is in attainment (or designated as</w:t>
      </w:r>
      <w:r>
        <w:t xml:space="preserve"> unclassifiable) for all air pollutants subject to state and federal Ambient Air Quality Standards (AAQS).  </w:t>
      </w:r>
      <w:r w:rsidRPr="00527DC2">
        <w:rPr>
          <w:b/>
        </w:rPr>
        <w:fldChar w:fldCharType="begin"/>
      </w:r>
      <w:r w:rsidRPr="00527DC2">
        <w:rPr>
          <w:b/>
        </w:rPr>
        <w:instrText xml:space="preserve"> REF _Ref360092402 \h </w:instrText>
      </w:r>
      <w:r>
        <w:rPr>
          <w:b/>
        </w:rPr>
        <w:instrText xml:space="preserve"> \* MERGEFORMAT </w:instrText>
      </w:r>
      <w:r w:rsidRPr="00527DC2">
        <w:rPr>
          <w:b/>
        </w:rPr>
      </w:r>
      <w:r w:rsidRPr="00527DC2">
        <w:rPr>
          <w:b/>
        </w:rPr>
        <w:fldChar w:fldCharType="separate"/>
      </w:r>
      <w:r w:rsidR="009A5405" w:rsidRPr="009A5405">
        <w:rPr>
          <w:b/>
          <w:szCs w:val="22"/>
        </w:rPr>
        <w:t xml:space="preserve">Figure </w:t>
      </w:r>
      <w:r w:rsidR="009A5405" w:rsidRPr="009A5405">
        <w:rPr>
          <w:b/>
          <w:noProof/>
          <w:szCs w:val="22"/>
        </w:rPr>
        <w:t>1</w:t>
      </w:r>
      <w:r w:rsidRPr="00527DC2">
        <w:rPr>
          <w:b/>
        </w:rPr>
        <w:fldChar w:fldCharType="end"/>
      </w:r>
      <w:r>
        <w:rPr>
          <w:b/>
        </w:rPr>
        <w:t xml:space="preserve"> </w:t>
      </w:r>
      <w:r>
        <w:t xml:space="preserve">shows the location of TEC, Big Bend Station in Florida while </w:t>
      </w:r>
      <w:r w:rsidRPr="00082B93">
        <w:rPr>
          <w:b/>
        </w:rPr>
        <w:fldChar w:fldCharType="begin"/>
      </w:r>
      <w:r w:rsidRPr="00082B93">
        <w:rPr>
          <w:b/>
        </w:rPr>
        <w:instrText xml:space="preserve"> REF _Ref360092446 \h </w:instrText>
      </w:r>
      <w:r>
        <w:rPr>
          <w:b/>
        </w:rPr>
        <w:instrText xml:space="preserve"> \* MERGEFORMAT </w:instrText>
      </w:r>
      <w:r w:rsidRPr="00082B93">
        <w:rPr>
          <w:b/>
        </w:rPr>
      </w:r>
      <w:r w:rsidRPr="00082B93">
        <w:rPr>
          <w:b/>
        </w:rPr>
        <w:fldChar w:fldCharType="separate"/>
      </w:r>
      <w:r w:rsidR="009A5405" w:rsidRPr="009A5405">
        <w:rPr>
          <w:b/>
          <w:szCs w:val="22"/>
        </w:rPr>
        <w:t xml:space="preserve">Figure </w:t>
      </w:r>
      <w:r w:rsidR="009A5405" w:rsidRPr="009A5405">
        <w:rPr>
          <w:b/>
          <w:noProof/>
          <w:szCs w:val="22"/>
        </w:rPr>
        <w:t>2</w:t>
      </w:r>
      <w:r w:rsidRPr="00082B93">
        <w:rPr>
          <w:b/>
        </w:rPr>
        <w:fldChar w:fldCharType="end"/>
      </w:r>
      <w:r>
        <w:t xml:space="preserve"> shows a view of the Big Bend Station.</w:t>
      </w:r>
    </w:p>
    <w:p w:rsidR="00EF6618" w:rsidRDefault="00EF6618" w:rsidP="009A5405">
      <w:pPr>
        <w:pStyle w:val="BodyText3"/>
        <w:numPr>
          <w:ilvl w:val="12"/>
          <w:numId w:val="0"/>
        </w:numPr>
        <w:tabs>
          <w:tab w:val="left" w:pos="5400"/>
        </w:tabs>
        <w:spacing w:before="0" w:after="60"/>
      </w:pPr>
      <w:r w:rsidRPr="00787CE2">
        <w:rPr>
          <w:noProof/>
        </w:rPr>
        <w:drawing>
          <wp:inline distT="0" distB="0" distL="0" distR="0" wp14:anchorId="16663696" wp14:editId="6A48E225">
            <wp:extent cx="2816087" cy="1993156"/>
            <wp:effectExtent l="19050" t="19050" r="22860" b="266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6119" cy="2021489"/>
                    </a:xfrm>
                    <a:prstGeom prst="rect">
                      <a:avLst/>
                    </a:prstGeom>
                    <a:noFill/>
                    <a:ln w="19050">
                      <a:solidFill>
                        <a:schemeClr val="tx1"/>
                      </a:solidFill>
                    </a:ln>
                  </pic:spPr>
                </pic:pic>
              </a:graphicData>
            </a:graphic>
          </wp:inline>
        </w:drawing>
      </w:r>
      <w:r>
        <w:tab/>
      </w:r>
      <w:r w:rsidRPr="00C80DEA">
        <w:rPr>
          <w:noProof/>
        </w:rPr>
        <w:drawing>
          <wp:inline distT="0" distB="0" distL="0" distR="0" wp14:anchorId="0918947D" wp14:editId="0F053A3B">
            <wp:extent cx="2749826" cy="1993228"/>
            <wp:effectExtent l="19050" t="19050" r="12700" b="266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9307" cy="2029095"/>
                    </a:xfrm>
                    <a:prstGeom prst="rect">
                      <a:avLst/>
                    </a:prstGeom>
                    <a:noFill/>
                    <a:ln w="19050">
                      <a:solidFill>
                        <a:schemeClr val="tx1"/>
                      </a:solidFill>
                    </a:ln>
                  </pic:spPr>
                </pic:pic>
              </a:graphicData>
            </a:graphic>
          </wp:inline>
        </w:drawing>
      </w:r>
    </w:p>
    <w:p w:rsidR="00EF6618" w:rsidRPr="007E0A1B" w:rsidRDefault="00EF6618" w:rsidP="009A5405">
      <w:pPr>
        <w:pStyle w:val="Caption"/>
        <w:tabs>
          <w:tab w:val="left" w:pos="6030"/>
        </w:tabs>
        <w:spacing w:after="120"/>
        <w:ind w:left="180"/>
        <w:rPr>
          <w:sz w:val="22"/>
          <w:szCs w:val="22"/>
        </w:rPr>
      </w:pPr>
      <w:bookmarkStart w:id="0" w:name="_Ref360092402"/>
      <w:r w:rsidRPr="004A1559">
        <w:rPr>
          <w:sz w:val="22"/>
          <w:szCs w:val="22"/>
        </w:rPr>
        <w:t xml:space="preserve">Figure </w:t>
      </w:r>
      <w:r w:rsidRPr="004A1559">
        <w:rPr>
          <w:sz w:val="22"/>
          <w:szCs w:val="22"/>
        </w:rPr>
        <w:fldChar w:fldCharType="begin"/>
      </w:r>
      <w:r w:rsidRPr="004A1559">
        <w:rPr>
          <w:sz w:val="22"/>
          <w:szCs w:val="22"/>
        </w:rPr>
        <w:instrText xml:space="preserve"> SEQ Figure \* ARABIC </w:instrText>
      </w:r>
      <w:r w:rsidRPr="004A1559">
        <w:rPr>
          <w:sz w:val="22"/>
          <w:szCs w:val="22"/>
        </w:rPr>
        <w:fldChar w:fldCharType="separate"/>
      </w:r>
      <w:r w:rsidR="009A5405">
        <w:rPr>
          <w:noProof/>
          <w:sz w:val="22"/>
          <w:szCs w:val="22"/>
        </w:rPr>
        <w:t>1</w:t>
      </w:r>
      <w:r w:rsidRPr="004A1559">
        <w:rPr>
          <w:sz w:val="22"/>
          <w:szCs w:val="22"/>
        </w:rPr>
        <w:fldChar w:fldCharType="end"/>
      </w:r>
      <w:bookmarkEnd w:id="0"/>
      <w:r>
        <w:rPr>
          <w:sz w:val="22"/>
          <w:szCs w:val="22"/>
        </w:rPr>
        <w:t xml:space="preserve">. </w:t>
      </w:r>
      <w:r w:rsidRPr="007E0A1B">
        <w:rPr>
          <w:sz w:val="22"/>
          <w:szCs w:val="22"/>
        </w:rPr>
        <w:t xml:space="preserve"> Location of TEC Big Bend Station</w:t>
      </w:r>
      <w:r>
        <w:rPr>
          <w:sz w:val="22"/>
          <w:szCs w:val="22"/>
        </w:rPr>
        <w:t>.</w:t>
      </w:r>
      <w:r w:rsidRPr="007E0A1B">
        <w:rPr>
          <w:sz w:val="22"/>
          <w:szCs w:val="22"/>
        </w:rPr>
        <w:tab/>
      </w:r>
      <w:bookmarkStart w:id="1" w:name="_Ref360092446"/>
      <w:r w:rsidRPr="004A1559">
        <w:rPr>
          <w:sz w:val="22"/>
          <w:szCs w:val="22"/>
        </w:rPr>
        <w:t xml:space="preserve">Figure </w:t>
      </w:r>
      <w:r w:rsidRPr="004A1559">
        <w:rPr>
          <w:sz w:val="22"/>
          <w:szCs w:val="22"/>
        </w:rPr>
        <w:fldChar w:fldCharType="begin"/>
      </w:r>
      <w:r w:rsidRPr="004A1559">
        <w:rPr>
          <w:sz w:val="22"/>
          <w:szCs w:val="22"/>
        </w:rPr>
        <w:instrText xml:space="preserve"> SEQ Figure \* ARABIC </w:instrText>
      </w:r>
      <w:r w:rsidRPr="004A1559">
        <w:rPr>
          <w:sz w:val="22"/>
          <w:szCs w:val="22"/>
        </w:rPr>
        <w:fldChar w:fldCharType="separate"/>
      </w:r>
      <w:r w:rsidR="009A5405">
        <w:rPr>
          <w:noProof/>
          <w:sz w:val="22"/>
          <w:szCs w:val="22"/>
        </w:rPr>
        <w:t>2</w:t>
      </w:r>
      <w:r w:rsidRPr="004A1559">
        <w:rPr>
          <w:sz w:val="22"/>
          <w:szCs w:val="22"/>
        </w:rPr>
        <w:fldChar w:fldCharType="end"/>
      </w:r>
      <w:bookmarkEnd w:id="1"/>
      <w:r w:rsidRPr="007E0A1B">
        <w:rPr>
          <w:sz w:val="22"/>
          <w:szCs w:val="22"/>
        </w:rPr>
        <w:t>.  TEC Big Bend Station</w:t>
      </w:r>
      <w:r>
        <w:rPr>
          <w:sz w:val="22"/>
          <w:szCs w:val="22"/>
        </w:rPr>
        <w:t>.</w:t>
      </w:r>
    </w:p>
    <w:p w:rsidR="00EF6618" w:rsidRDefault="00EF6618" w:rsidP="00EF6618">
      <w:pPr>
        <w:pStyle w:val="BodyText3"/>
        <w:numPr>
          <w:ilvl w:val="12"/>
          <w:numId w:val="0"/>
        </w:numPr>
        <w:spacing w:before="0"/>
        <w:rPr>
          <w:szCs w:val="22"/>
        </w:rPr>
      </w:pPr>
      <w:r w:rsidRPr="002F6B7A">
        <w:rPr>
          <w:szCs w:val="22"/>
        </w:rPr>
        <w:t xml:space="preserve">The Big Bend Station is a nominal </w:t>
      </w:r>
      <w:r>
        <w:rPr>
          <w:szCs w:val="22"/>
        </w:rPr>
        <w:t>1,892</w:t>
      </w:r>
      <w:r w:rsidRPr="002F6B7A">
        <w:rPr>
          <w:szCs w:val="22"/>
        </w:rPr>
        <w:t xml:space="preserve"> megawatt (MW) electric generation facility.  This facility consists of four fos</w:t>
      </w:r>
      <w:r>
        <w:rPr>
          <w:szCs w:val="22"/>
        </w:rPr>
        <w:t xml:space="preserve">sil fuel fired </w:t>
      </w:r>
      <w:r w:rsidRPr="00275981">
        <w:rPr>
          <w:szCs w:val="22"/>
        </w:rPr>
        <w:t xml:space="preserve">electrical generating </w:t>
      </w:r>
      <w:r w:rsidRPr="002F6B7A">
        <w:rPr>
          <w:szCs w:val="22"/>
        </w:rPr>
        <w:t>Unit</w:t>
      </w:r>
      <w:r>
        <w:rPr>
          <w:szCs w:val="22"/>
        </w:rPr>
        <w:t>s 1 – 4</w:t>
      </w:r>
      <w:r w:rsidRPr="002F6B7A">
        <w:rPr>
          <w:szCs w:val="22"/>
        </w:rPr>
        <w:t>; four steam turbines</w:t>
      </w:r>
      <w:r>
        <w:rPr>
          <w:szCs w:val="22"/>
        </w:rPr>
        <w:t xml:space="preserve"> electrical generators (STEG)</w:t>
      </w:r>
      <w:r w:rsidRPr="002F6B7A">
        <w:rPr>
          <w:szCs w:val="22"/>
        </w:rPr>
        <w:t xml:space="preserve">; </w:t>
      </w:r>
      <w:r>
        <w:rPr>
          <w:szCs w:val="22"/>
        </w:rPr>
        <w:t>two</w:t>
      </w:r>
      <w:r w:rsidRPr="002F6B7A">
        <w:rPr>
          <w:szCs w:val="22"/>
        </w:rPr>
        <w:t xml:space="preserve"> simple-cycle combustion turbine </w:t>
      </w:r>
      <w:r>
        <w:rPr>
          <w:szCs w:val="22"/>
        </w:rPr>
        <w:t>(SCCT) 4A and 4B sharing a common electrical generator</w:t>
      </w:r>
      <w:r w:rsidRPr="002F6B7A">
        <w:rPr>
          <w:szCs w:val="22"/>
        </w:rPr>
        <w:t>; solid fuels, fly ash, limestone, gypsum, slag, bottom ash storage and handling facilities; and, fuel oil storage tanks.</w:t>
      </w:r>
    </w:p>
    <w:p w:rsidR="00EF6618" w:rsidRDefault="00EF6618" w:rsidP="00EF6618">
      <w:pPr>
        <w:pStyle w:val="BodyText3"/>
        <w:numPr>
          <w:ilvl w:val="12"/>
          <w:numId w:val="0"/>
        </w:numPr>
        <w:spacing w:before="0"/>
        <w:rPr>
          <w:szCs w:val="22"/>
        </w:rPr>
      </w:pPr>
      <w:r>
        <w:rPr>
          <w:szCs w:val="22"/>
        </w:rPr>
        <w:t xml:space="preserve">Units 1 through 4 have a combined </w:t>
      </w:r>
      <w:r w:rsidRPr="00275981">
        <w:rPr>
          <w:szCs w:val="22"/>
        </w:rPr>
        <w:t>electrical generating</w:t>
      </w:r>
      <w:r>
        <w:rPr>
          <w:szCs w:val="22"/>
        </w:rPr>
        <w:t xml:space="preserve"> output of 1,821 MW.  Units 1 through 3 each have a</w:t>
      </w:r>
      <w:r w:rsidRPr="00275981">
        <w:rPr>
          <w:szCs w:val="22"/>
        </w:rPr>
        <w:t xml:space="preserve"> design electrical generating capacity of 445 MW</w:t>
      </w:r>
      <w:r>
        <w:rPr>
          <w:szCs w:val="22"/>
        </w:rPr>
        <w:t>.  Unit 4 has</w:t>
      </w:r>
      <w:r w:rsidRPr="00275981">
        <w:rPr>
          <w:szCs w:val="22"/>
        </w:rPr>
        <w:t xml:space="preserve"> a design electrical generating capacity of </w:t>
      </w:r>
      <w:r w:rsidRPr="002F6B7A">
        <w:rPr>
          <w:szCs w:val="22"/>
        </w:rPr>
        <w:t>486 MW</w:t>
      </w:r>
      <w:r>
        <w:rPr>
          <w:szCs w:val="22"/>
        </w:rPr>
        <w:t xml:space="preserve">.  </w:t>
      </w:r>
      <w:r w:rsidRPr="002F6B7A">
        <w:rPr>
          <w:szCs w:val="22"/>
        </w:rPr>
        <w:t xml:space="preserve">The fuel fired in </w:t>
      </w:r>
      <w:r>
        <w:rPr>
          <w:szCs w:val="22"/>
        </w:rPr>
        <w:t>all four units</w:t>
      </w:r>
      <w:r w:rsidRPr="002F6B7A">
        <w:rPr>
          <w:szCs w:val="22"/>
        </w:rPr>
        <w:t xml:space="preserve"> consists of coal, or a coal/petroleum coke blend containing a maximum of 20% petroleum coke by weight, or coal blended with coal residual generated from the Polk Power Station, or a coal/petroleum coke blend further blended with coal residual generated from the Polk Power Station</w:t>
      </w:r>
      <w:r>
        <w:rPr>
          <w:szCs w:val="22"/>
        </w:rPr>
        <w:t xml:space="preserve">, and </w:t>
      </w:r>
      <w:r w:rsidRPr="0042279E">
        <w:rPr>
          <w:szCs w:val="22"/>
        </w:rPr>
        <w:t xml:space="preserve">on-site </w:t>
      </w:r>
      <w:r w:rsidRPr="0042279E">
        <w:rPr>
          <w:szCs w:val="22"/>
        </w:rPr>
        <w:lastRenderedPageBreak/>
        <w:t>generated fly</w:t>
      </w:r>
      <w:r>
        <w:rPr>
          <w:szCs w:val="22"/>
        </w:rPr>
        <w:t xml:space="preserve"> </w:t>
      </w:r>
      <w:r w:rsidRPr="0042279E">
        <w:rPr>
          <w:szCs w:val="22"/>
        </w:rPr>
        <w:t>ash</w:t>
      </w:r>
      <w:r w:rsidRPr="002F6B7A">
        <w:rPr>
          <w:szCs w:val="22"/>
        </w:rPr>
        <w:t xml:space="preserve">.  </w:t>
      </w:r>
      <w:r w:rsidRPr="0001045F">
        <w:rPr>
          <w:szCs w:val="22"/>
        </w:rPr>
        <w:t xml:space="preserve">In addition to the fuels allowed to be burned during normal operation, each unit </w:t>
      </w:r>
      <w:r>
        <w:rPr>
          <w:szCs w:val="22"/>
        </w:rPr>
        <w:t>burns</w:t>
      </w:r>
      <w:r w:rsidRPr="0001045F">
        <w:rPr>
          <w:szCs w:val="22"/>
        </w:rPr>
        <w:t xml:space="preserve"> new No. 2 fuel oil during startup, shutdown</w:t>
      </w:r>
      <w:r>
        <w:rPr>
          <w:szCs w:val="22"/>
        </w:rPr>
        <w:t>,</w:t>
      </w:r>
      <w:r w:rsidRPr="0001045F">
        <w:rPr>
          <w:szCs w:val="22"/>
        </w:rPr>
        <w:t xml:space="preserve"> flame stabilization</w:t>
      </w:r>
      <w:r>
        <w:rPr>
          <w:szCs w:val="22"/>
        </w:rPr>
        <w:t>, and during the startup of an additional solid fuel mill on an already operating unit</w:t>
      </w:r>
      <w:r w:rsidRPr="0001045F">
        <w:rPr>
          <w:szCs w:val="22"/>
        </w:rPr>
        <w:t>.</w:t>
      </w:r>
    </w:p>
    <w:p w:rsidR="00EF6618" w:rsidRDefault="00EF6618" w:rsidP="00EF6618">
      <w:pPr>
        <w:pStyle w:val="BodyText3"/>
        <w:numPr>
          <w:ilvl w:val="12"/>
          <w:numId w:val="0"/>
        </w:numPr>
        <w:spacing w:before="0"/>
        <w:rPr>
          <w:szCs w:val="22"/>
        </w:rPr>
      </w:pPr>
      <w:r>
        <w:rPr>
          <w:szCs w:val="22"/>
        </w:rPr>
        <w:t>For each unit, n</w:t>
      </w:r>
      <w:r w:rsidRPr="001E061C">
        <w:rPr>
          <w:szCs w:val="22"/>
        </w:rPr>
        <w:t>itrogen oxide (NO</w:t>
      </w:r>
      <w:r w:rsidRPr="00E13EA7">
        <w:rPr>
          <w:szCs w:val="22"/>
          <w:vertAlign w:val="subscript"/>
        </w:rPr>
        <w:t>X</w:t>
      </w:r>
      <w:r w:rsidRPr="001E061C">
        <w:rPr>
          <w:szCs w:val="22"/>
        </w:rPr>
        <w:t>) emissions are controlled by low</w:t>
      </w:r>
      <w:r>
        <w:rPr>
          <w:szCs w:val="22"/>
        </w:rPr>
        <w:t>-</w:t>
      </w:r>
      <w:r w:rsidRPr="001E061C">
        <w:rPr>
          <w:szCs w:val="22"/>
        </w:rPr>
        <w:t>NO</w:t>
      </w:r>
      <w:r w:rsidRPr="001E061C">
        <w:rPr>
          <w:szCs w:val="22"/>
          <w:vertAlign w:val="subscript"/>
        </w:rPr>
        <w:t>X</w:t>
      </w:r>
      <w:r w:rsidRPr="001E061C">
        <w:rPr>
          <w:szCs w:val="22"/>
        </w:rPr>
        <w:t xml:space="preserve"> burners </w:t>
      </w:r>
      <w:r>
        <w:rPr>
          <w:szCs w:val="22"/>
        </w:rPr>
        <w:t>and</w:t>
      </w:r>
      <w:r w:rsidRPr="001E061C">
        <w:rPr>
          <w:szCs w:val="22"/>
        </w:rPr>
        <w:t xml:space="preserve"> </w:t>
      </w:r>
      <w:r>
        <w:rPr>
          <w:szCs w:val="22"/>
        </w:rPr>
        <w:t xml:space="preserve">a </w:t>
      </w:r>
      <w:r w:rsidRPr="001E061C">
        <w:rPr>
          <w:szCs w:val="22"/>
        </w:rPr>
        <w:t>selective catalytic reduction system</w:t>
      </w:r>
      <w:r>
        <w:rPr>
          <w:szCs w:val="22"/>
        </w:rPr>
        <w:t xml:space="preserve">.  </w:t>
      </w:r>
      <w:r w:rsidRPr="001E061C">
        <w:rPr>
          <w:szCs w:val="22"/>
        </w:rPr>
        <w:t xml:space="preserve">Unit 4 also has a </w:t>
      </w:r>
      <w:r>
        <w:rPr>
          <w:szCs w:val="22"/>
        </w:rPr>
        <w:t xml:space="preserve">separated </w:t>
      </w:r>
      <w:r w:rsidRPr="001E061C">
        <w:rPr>
          <w:szCs w:val="22"/>
        </w:rPr>
        <w:t xml:space="preserve">over fire air system </w:t>
      </w:r>
      <w:r>
        <w:rPr>
          <w:szCs w:val="22"/>
        </w:rPr>
        <w:t>to further control NO</w:t>
      </w:r>
      <w:r w:rsidRPr="00A13042">
        <w:rPr>
          <w:szCs w:val="22"/>
          <w:vertAlign w:val="subscript"/>
        </w:rPr>
        <w:t>X</w:t>
      </w:r>
      <w:r>
        <w:rPr>
          <w:szCs w:val="22"/>
        </w:rPr>
        <w:t xml:space="preserve"> emissions</w:t>
      </w:r>
      <w:r w:rsidRPr="001E061C">
        <w:rPr>
          <w:szCs w:val="22"/>
        </w:rPr>
        <w:t>.  Particulate matter (PM) emissions are controlled by</w:t>
      </w:r>
      <w:r>
        <w:rPr>
          <w:szCs w:val="22"/>
        </w:rPr>
        <w:t xml:space="preserve"> a</w:t>
      </w:r>
      <w:r w:rsidRPr="001E061C">
        <w:rPr>
          <w:szCs w:val="22"/>
        </w:rPr>
        <w:t xml:space="preserve"> dry electrostatic precipitator </w:t>
      </w:r>
      <w:r>
        <w:rPr>
          <w:szCs w:val="22"/>
        </w:rPr>
        <w:t>while s</w:t>
      </w:r>
      <w:r w:rsidRPr="001E061C">
        <w:rPr>
          <w:szCs w:val="22"/>
        </w:rPr>
        <w:t>ulfur dioxide (SO</w:t>
      </w:r>
      <w:r w:rsidRPr="001E061C">
        <w:rPr>
          <w:szCs w:val="22"/>
          <w:vertAlign w:val="subscript"/>
        </w:rPr>
        <w:t>2</w:t>
      </w:r>
      <w:r w:rsidRPr="001E061C">
        <w:rPr>
          <w:szCs w:val="22"/>
        </w:rPr>
        <w:t>) emissions are controlled by wet flue gas desulfurization (FGD</w:t>
      </w:r>
      <w:r>
        <w:rPr>
          <w:szCs w:val="22"/>
        </w:rPr>
        <w:t>)</w:t>
      </w:r>
      <w:r w:rsidRPr="00A13042">
        <w:rPr>
          <w:szCs w:val="22"/>
        </w:rPr>
        <w:t xml:space="preserve"> </w:t>
      </w:r>
      <w:r>
        <w:rPr>
          <w:szCs w:val="22"/>
        </w:rPr>
        <w:t>system on each unit</w:t>
      </w:r>
      <w:r w:rsidRPr="001E061C">
        <w:rPr>
          <w:szCs w:val="22"/>
        </w:rPr>
        <w:t>.  Continuous opacity monitoring systems are used to measure opacity.  Units 1 through 3 are equipped with continuous emissions monitoring systems (CEMS) to measure NO</w:t>
      </w:r>
      <w:r>
        <w:rPr>
          <w:szCs w:val="22"/>
          <w:vertAlign w:val="subscript"/>
        </w:rPr>
        <w:t>X</w:t>
      </w:r>
      <w:r w:rsidRPr="001E061C">
        <w:rPr>
          <w:szCs w:val="22"/>
        </w:rPr>
        <w:t>, SO</w:t>
      </w:r>
      <w:r w:rsidRPr="001E061C">
        <w:rPr>
          <w:szCs w:val="22"/>
          <w:vertAlign w:val="subscript"/>
        </w:rPr>
        <w:t>2</w:t>
      </w:r>
      <w:r w:rsidRPr="001E061C">
        <w:rPr>
          <w:szCs w:val="22"/>
        </w:rPr>
        <w:t>, and carbon dioxide (CO</w:t>
      </w:r>
      <w:r w:rsidRPr="001E061C">
        <w:rPr>
          <w:szCs w:val="22"/>
          <w:vertAlign w:val="subscript"/>
        </w:rPr>
        <w:t>2</w:t>
      </w:r>
      <w:r w:rsidRPr="001E061C">
        <w:rPr>
          <w:szCs w:val="22"/>
        </w:rPr>
        <w:t>).  Unit 4 is equipped with CEMS to measure carbon monoxide</w:t>
      </w:r>
      <w:r>
        <w:rPr>
          <w:szCs w:val="22"/>
        </w:rPr>
        <w:t xml:space="preserve"> (CO), </w:t>
      </w:r>
      <w:r w:rsidRPr="001E061C">
        <w:rPr>
          <w:szCs w:val="22"/>
        </w:rPr>
        <w:t>NO</w:t>
      </w:r>
      <w:r>
        <w:rPr>
          <w:szCs w:val="22"/>
          <w:vertAlign w:val="subscript"/>
        </w:rPr>
        <w:t>X</w:t>
      </w:r>
      <w:r w:rsidRPr="001E061C">
        <w:rPr>
          <w:szCs w:val="22"/>
        </w:rPr>
        <w:t>, SO</w:t>
      </w:r>
      <w:r w:rsidRPr="00A4796E">
        <w:rPr>
          <w:szCs w:val="22"/>
          <w:vertAlign w:val="subscript"/>
        </w:rPr>
        <w:t>2</w:t>
      </w:r>
      <w:r>
        <w:rPr>
          <w:szCs w:val="22"/>
        </w:rPr>
        <w:t xml:space="preserve">, </w:t>
      </w:r>
      <w:r w:rsidRPr="001E061C">
        <w:rPr>
          <w:szCs w:val="22"/>
        </w:rPr>
        <w:t>and</w:t>
      </w:r>
      <w:r>
        <w:rPr>
          <w:szCs w:val="22"/>
        </w:rPr>
        <w:t xml:space="preserve"> CO</w:t>
      </w:r>
      <w:r w:rsidRPr="00B1176D">
        <w:rPr>
          <w:szCs w:val="22"/>
          <w:vertAlign w:val="subscript"/>
        </w:rPr>
        <w:t>2</w:t>
      </w:r>
      <w:r w:rsidRPr="001E061C">
        <w:rPr>
          <w:szCs w:val="22"/>
        </w:rPr>
        <w:t xml:space="preserve">.  </w:t>
      </w:r>
      <w:r>
        <w:rPr>
          <w:szCs w:val="22"/>
        </w:rPr>
        <w:t>These units began operation</w:t>
      </w:r>
      <w:r w:rsidRPr="001E061C">
        <w:rPr>
          <w:szCs w:val="22"/>
        </w:rPr>
        <w:t xml:space="preserve"> in 1970</w:t>
      </w:r>
      <w:r>
        <w:rPr>
          <w:szCs w:val="22"/>
        </w:rPr>
        <w:t xml:space="preserve"> (Unit 1)</w:t>
      </w:r>
      <w:r w:rsidRPr="001E061C">
        <w:rPr>
          <w:szCs w:val="22"/>
        </w:rPr>
        <w:t xml:space="preserve">, </w:t>
      </w:r>
      <w:r>
        <w:rPr>
          <w:szCs w:val="22"/>
        </w:rPr>
        <w:t>1973 (</w:t>
      </w:r>
      <w:r w:rsidRPr="001E061C">
        <w:rPr>
          <w:szCs w:val="22"/>
        </w:rPr>
        <w:t>Unit 2</w:t>
      </w:r>
      <w:r>
        <w:rPr>
          <w:szCs w:val="22"/>
        </w:rPr>
        <w:t>)</w:t>
      </w:r>
      <w:r w:rsidRPr="001E061C">
        <w:rPr>
          <w:szCs w:val="22"/>
        </w:rPr>
        <w:t xml:space="preserve">, </w:t>
      </w:r>
      <w:r>
        <w:rPr>
          <w:szCs w:val="22"/>
        </w:rPr>
        <w:t>1976 (</w:t>
      </w:r>
      <w:r w:rsidRPr="001E061C">
        <w:rPr>
          <w:szCs w:val="22"/>
        </w:rPr>
        <w:t>Unit 3</w:t>
      </w:r>
      <w:r>
        <w:rPr>
          <w:szCs w:val="22"/>
        </w:rPr>
        <w:t>)</w:t>
      </w:r>
      <w:r w:rsidRPr="001E061C">
        <w:rPr>
          <w:szCs w:val="22"/>
        </w:rPr>
        <w:t xml:space="preserve">, and </w:t>
      </w:r>
      <w:r>
        <w:rPr>
          <w:szCs w:val="22"/>
        </w:rPr>
        <w:t>1985 (</w:t>
      </w:r>
      <w:r w:rsidRPr="001E061C">
        <w:rPr>
          <w:szCs w:val="22"/>
        </w:rPr>
        <w:t>Unit 4</w:t>
      </w:r>
      <w:r>
        <w:rPr>
          <w:szCs w:val="22"/>
        </w:rPr>
        <w:t>)</w:t>
      </w:r>
      <w:r w:rsidRPr="001E061C">
        <w:rPr>
          <w:szCs w:val="22"/>
        </w:rPr>
        <w:t>.</w:t>
      </w:r>
    </w:p>
    <w:p w:rsidR="00EF6618" w:rsidRPr="00AC0A89" w:rsidRDefault="00EF6618" w:rsidP="00EF6618">
      <w:pPr>
        <w:pStyle w:val="BodyText3"/>
        <w:numPr>
          <w:ilvl w:val="12"/>
          <w:numId w:val="0"/>
        </w:numPr>
        <w:spacing w:before="0"/>
        <w:rPr>
          <w:szCs w:val="22"/>
        </w:rPr>
      </w:pPr>
      <w:r w:rsidRPr="00B67169">
        <w:rPr>
          <w:szCs w:val="22"/>
        </w:rPr>
        <w:t>The</w:t>
      </w:r>
      <w:r>
        <w:rPr>
          <w:szCs w:val="22"/>
        </w:rPr>
        <w:t xml:space="preserve"> SCCT 4A and 4B </w:t>
      </w:r>
      <w:r w:rsidRPr="00B67169">
        <w:rPr>
          <w:szCs w:val="22"/>
        </w:rPr>
        <w:t>consis</w:t>
      </w:r>
      <w:r>
        <w:rPr>
          <w:szCs w:val="22"/>
        </w:rPr>
        <w:t>t of one PWPS FT8-3® SwiftPac® a</w:t>
      </w:r>
      <w:r w:rsidRPr="00B67169">
        <w:rPr>
          <w:szCs w:val="22"/>
        </w:rPr>
        <w:t>ero</w:t>
      </w:r>
      <w:r>
        <w:rPr>
          <w:szCs w:val="22"/>
        </w:rPr>
        <w:t>-</w:t>
      </w:r>
      <w:r w:rsidRPr="00B67169">
        <w:rPr>
          <w:szCs w:val="22"/>
        </w:rPr>
        <w:t>derivative SCCT-</w:t>
      </w:r>
      <w:r>
        <w:rPr>
          <w:szCs w:val="22"/>
        </w:rPr>
        <w:t xml:space="preserve">electrical </w:t>
      </w:r>
      <w:r w:rsidRPr="00B67169">
        <w:rPr>
          <w:szCs w:val="22"/>
        </w:rPr>
        <w:t xml:space="preserve">generator </w:t>
      </w:r>
      <w:r>
        <w:rPr>
          <w:szCs w:val="22"/>
        </w:rPr>
        <w:t>to operate in simple cycle mode</w:t>
      </w:r>
      <w:r w:rsidRPr="00B67169">
        <w:rPr>
          <w:szCs w:val="22"/>
        </w:rPr>
        <w:t xml:space="preserve">.  </w:t>
      </w:r>
      <w:r>
        <w:rPr>
          <w:szCs w:val="22"/>
        </w:rPr>
        <w:t>The SwiftPac® consists of two combustion turbines</w:t>
      </w:r>
      <w:r w:rsidRPr="00B67169">
        <w:rPr>
          <w:szCs w:val="22"/>
        </w:rPr>
        <w:t xml:space="preserve"> coupled to one common generator having a nominal gross generation capacity of 62 MW.  Each SCCT is allowed to fire </w:t>
      </w:r>
      <w:r w:rsidRPr="00AC0A89">
        <w:rPr>
          <w:szCs w:val="22"/>
        </w:rPr>
        <w:t>pipeline-quality natural gas and ultra-low sulfur distillate fuel oil.  Each SCCT is equipped with water injection to minimize NO</w:t>
      </w:r>
      <w:r w:rsidRPr="00AC0A89">
        <w:rPr>
          <w:szCs w:val="22"/>
          <w:vertAlign w:val="subscript"/>
        </w:rPr>
        <w:t>X</w:t>
      </w:r>
      <w:r w:rsidRPr="00AC0A89">
        <w:rPr>
          <w:szCs w:val="22"/>
        </w:rPr>
        <w:t xml:space="preserve"> emissions and an oxidation catalyst to minimize CO</w:t>
      </w:r>
      <w:r>
        <w:rPr>
          <w:szCs w:val="22"/>
        </w:rPr>
        <w:t xml:space="preserve"> and volatile organic compounds</w:t>
      </w:r>
      <w:r w:rsidRPr="00AC0A89">
        <w:rPr>
          <w:szCs w:val="22"/>
        </w:rPr>
        <w:t xml:space="preserve"> </w:t>
      </w:r>
      <w:r>
        <w:rPr>
          <w:szCs w:val="22"/>
        </w:rPr>
        <w:t xml:space="preserve">(VOC) </w:t>
      </w:r>
      <w:r w:rsidRPr="00AC0A89">
        <w:rPr>
          <w:szCs w:val="22"/>
        </w:rPr>
        <w:t>emissions.</w:t>
      </w:r>
    </w:p>
    <w:p w:rsidR="00EF6618" w:rsidRPr="00AC0A89" w:rsidRDefault="00EF6618" w:rsidP="009A5405">
      <w:pPr>
        <w:pStyle w:val="ListParagraph"/>
        <w:numPr>
          <w:ilvl w:val="1"/>
          <w:numId w:val="8"/>
        </w:numPr>
        <w:spacing w:after="120"/>
        <w:ind w:left="720" w:hanging="720"/>
        <w:rPr>
          <w:b/>
          <w:bCs/>
          <w:sz w:val="22"/>
          <w:szCs w:val="22"/>
        </w:rPr>
      </w:pPr>
      <w:r w:rsidRPr="00AC0A89">
        <w:rPr>
          <w:b/>
          <w:bCs/>
          <w:sz w:val="22"/>
          <w:szCs w:val="22"/>
        </w:rPr>
        <w:t>Facility Regulatory Categories</w:t>
      </w:r>
    </w:p>
    <w:p w:rsidR="00EF6618" w:rsidRPr="00AC0A89" w:rsidRDefault="00EF6618" w:rsidP="006A75AC">
      <w:pPr>
        <w:numPr>
          <w:ilvl w:val="0"/>
          <w:numId w:val="3"/>
        </w:numPr>
        <w:spacing w:after="60"/>
        <w:rPr>
          <w:sz w:val="22"/>
          <w:szCs w:val="22"/>
        </w:rPr>
      </w:pPr>
      <w:r w:rsidRPr="00AC0A89">
        <w:rPr>
          <w:sz w:val="22"/>
          <w:szCs w:val="22"/>
        </w:rPr>
        <w:t>The facility is a major source of hazardous air pollutants (HAP).</w:t>
      </w:r>
    </w:p>
    <w:p w:rsidR="00EF6618" w:rsidRDefault="00EF6618" w:rsidP="006A75AC">
      <w:pPr>
        <w:pStyle w:val="BodyText"/>
        <w:numPr>
          <w:ilvl w:val="0"/>
          <w:numId w:val="3"/>
        </w:numPr>
        <w:spacing w:after="60"/>
        <w:rPr>
          <w:sz w:val="22"/>
          <w:szCs w:val="22"/>
        </w:rPr>
      </w:pPr>
      <w:r w:rsidRPr="00AC0A89">
        <w:rPr>
          <w:sz w:val="22"/>
          <w:szCs w:val="22"/>
        </w:rPr>
        <w:t>The facility operates units subject to the acid rain provisions of the Clean Air Act.</w:t>
      </w:r>
    </w:p>
    <w:p w:rsidR="00EF6618" w:rsidRPr="00AC0A89" w:rsidRDefault="00EF6618" w:rsidP="006A75AC">
      <w:pPr>
        <w:pStyle w:val="BodyText"/>
        <w:numPr>
          <w:ilvl w:val="0"/>
          <w:numId w:val="3"/>
        </w:numPr>
        <w:spacing w:after="60"/>
        <w:rPr>
          <w:sz w:val="22"/>
          <w:szCs w:val="22"/>
        </w:rPr>
      </w:pPr>
      <w:r w:rsidRPr="00E97BB6">
        <w:rPr>
          <w:sz w:val="22"/>
          <w:szCs w:val="22"/>
        </w:rPr>
        <w:t xml:space="preserve">The facility </w:t>
      </w:r>
      <w:r>
        <w:rPr>
          <w:sz w:val="22"/>
          <w:szCs w:val="22"/>
        </w:rPr>
        <w:t>operates units</w:t>
      </w:r>
      <w:r w:rsidRPr="00E97BB6">
        <w:rPr>
          <w:sz w:val="22"/>
          <w:szCs w:val="22"/>
        </w:rPr>
        <w:t xml:space="preserve"> subject to the Clean Air Interstate Rule (CAIR) set forth in Rule 62-296.470,</w:t>
      </w:r>
      <w:r w:rsidRPr="00E97BB6">
        <w:rPr>
          <w:sz w:val="22"/>
        </w:rPr>
        <w:t xml:space="preserve"> F.A.C.</w:t>
      </w:r>
    </w:p>
    <w:p w:rsidR="00EF6618" w:rsidRPr="00AC0A89" w:rsidRDefault="00EF6618" w:rsidP="006A75AC">
      <w:pPr>
        <w:numPr>
          <w:ilvl w:val="0"/>
          <w:numId w:val="3"/>
        </w:numPr>
        <w:spacing w:after="60"/>
        <w:rPr>
          <w:sz w:val="22"/>
          <w:szCs w:val="22"/>
        </w:rPr>
      </w:pPr>
      <w:r w:rsidRPr="00AC0A89">
        <w:rPr>
          <w:sz w:val="22"/>
          <w:szCs w:val="22"/>
        </w:rPr>
        <w:t>The facility is a Title V major source of air pollution in accordance with Chapter 62-213, F.A.C.</w:t>
      </w:r>
    </w:p>
    <w:p w:rsidR="00EF6618" w:rsidRPr="00AC0A89" w:rsidRDefault="00EF6618" w:rsidP="006A75AC">
      <w:pPr>
        <w:numPr>
          <w:ilvl w:val="0"/>
          <w:numId w:val="3"/>
        </w:numPr>
        <w:spacing w:after="60"/>
        <w:rPr>
          <w:sz w:val="22"/>
          <w:szCs w:val="22"/>
        </w:rPr>
      </w:pPr>
      <w:r w:rsidRPr="00AC0A89">
        <w:rPr>
          <w:sz w:val="22"/>
          <w:szCs w:val="22"/>
        </w:rPr>
        <w:t>The facility is a major stationary source in accordance with Rule 62-212.400, F.A.C. for the Prevention of Significant Deterioration (PSD) of Air Quality.</w:t>
      </w:r>
    </w:p>
    <w:p w:rsidR="00EF6618" w:rsidRPr="00AC0A89" w:rsidRDefault="00EF6618" w:rsidP="006A75AC">
      <w:pPr>
        <w:numPr>
          <w:ilvl w:val="0"/>
          <w:numId w:val="3"/>
        </w:numPr>
        <w:spacing w:after="60"/>
        <w:rPr>
          <w:sz w:val="22"/>
          <w:szCs w:val="22"/>
        </w:rPr>
      </w:pPr>
      <w:r w:rsidRPr="00AC0A89">
        <w:rPr>
          <w:sz w:val="22"/>
          <w:szCs w:val="22"/>
        </w:rPr>
        <w:t>The facility does operate units subject to the New Source Performance Standards (NSPS) of 40 CFR 60.</w:t>
      </w:r>
    </w:p>
    <w:p w:rsidR="00EF6618" w:rsidRPr="00AC0A89" w:rsidRDefault="00EF6618" w:rsidP="00EF6618">
      <w:pPr>
        <w:numPr>
          <w:ilvl w:val="0"/>
          <w:numId w:val="3"/>
        </w:numPr>
        <w:spacing w:after="120"/>
        <w:rPr>
          <w:sz w:val="22"/>
          <w:szCs w:val="22"/>
        </w:rPr>
      </w:pPr>
      <w:r w:rsidRPr="00AC0A89">
        <w:rPr>
          <w:sz w:val="22"/>
          <w:szCs w:val="22"/>
        </w:rPr>
        <w:t>The facility does operate units subject to the National Emissions Standards for Hazardous Air Pollutants (NESHAP) of 40 CFR 63.</w:t>
      </w:r>
    </w:p>
    <w:p w:rsidR="00193F10" w:rsidRPr="009A5405" w:rsidRDefault="00193F10" w:rsidP="009A5405">
      <w:pPr>
        <w:pStyle w:val="ListParagraph"/>
        <w:numPr>
          <w:ilvl w:val="1"/>
          <w:numId w:val="8"/>
        </w:numPr>
        <w:spacing w:after="120"/>
        <w:ind w:left="720" w:hanging="720"/>
        <w:rPr>
          <w:b/>
          <w:bCs/>
          <w:sz w:val="22"/>
          <w:szCs w:val="22"/>
        </w:rPr>
      </w:pPr>
      <w:r w:rsidRPr="009A5405">
        <w:rPr>
          <w:b/>
          <w:bCs/>
          <w:sz w:val="22"/>
          <w:szCs w:val="22"/>
        </w:rPr>
        <w:t>Project Description</w:t>
      </w:r>
    </w:p>
    <w:p w:rsidR="00EF6618" w:rsidRDefault="00401715" w:rsidP="00EF6618">
      <w:pPr>
        <w:pStyle w:val="BodyText3"/>
        <w:widowControl w:val="0"/>
        <w:rPr>
          <w:szCs w:val="22"/>
        </w:rPr>
      </w:pPr>
      <w:r>
        <w:rPr>
          <w:szCs w:val="22"/>
        </w:rPr>
        <w:t xml:space="preserve">TEC is requesting to temporarily unload various types of limestone transported by </w:t>
      </w:r>
      <w:r w:rsidR="009A5405">
        <w:rPr>
          <w:szCs w:val="22"/>
        </w:rPr>
        <w:t xml:space="preserve">truck, </w:t>
      </w:r>
      <w:r>
        <w:rPr>
          <w:szCs w:val="22"/>
        </w:rPr>
        <w:t>rail</w:t>
      </w:r>
      <w:r w:rsidR="00CE25CD">
        <w:rPr>
          <w:szCs w:val="22"/>
        </w:rPr>
        <w:t>car</w:t>
      </w:r>
      <w:r>
        <w:rPr>
          <w:szCs w:val="22"/>
        </w:rPr>
        <w:t xml:space="preserve"> and/or sea vessel to test in the wet flue gas desulfurization (FGD) systems.  </w:t>
      </w:r>
      <w:r w:rsidR="00EF6618" w:rsidRPr="006C5246">
        <w:rPr>
          <w:szCs w:val="22"/>
        </w:rPr>
        <w:t xml:space="preserve">The purpose of this project is to explore </w:t>
      </w:r>
      <w:r w:rsidR="00EF6618">
        <w:rPr>
          <w:szCs w:val="22"/>
        </w:rPr>
        <w:t xml:space="preserve">a higher quality of limestone from other sources </w:t>
      </w:r>
      <w:r>
        <w:rPr>
          <w:szCs w:val="22"/>
        </w:rPr>
        <w:t>to increase the performance of the</w:t>
      </w:r>
      <w:r w:rsidR="00EF6618">
        <w:rPr>
          <w:szCs w:val="22"/>
        </w:rPr>
        <w:t xml:space="preserve"> FGD systems.  Currently, the quality of the limestone has been inconsistent and appears</w:t>
      </w:r>
      <w:r w:rsidR="00EF6618" w:rsidRPr="001F4D0F">
        <w:rPr>
          <w:szCs w:val="22"/>
        </w:rPr>
        <w:t xml:space="preserve"> to be impacting </w:t>
      </w:r>
      <w:r w:rsidR="00EF6618">
        <w:rPr>
          <w:szCs w:val="22"/>
        </w:rPr>
        <w:t>the performance of the</w:t>
      </w:r>
      <w:r w:rsidR="00567D37">
        <w:rPr>
          <w:szCs w:val="22"/>
        </w:rPr>
        <w:t xml:space="preserve"> existing</w:t>
      </w:r>
      <w:r w:rsidR="00EF6618">
        <w:rPr>
          <w:szCs w:val="22"/>
        </w:rPr>
        <w:t xml:space="preserve"> FGD systems at the Big Bend Station</w:t>
      </w:r>
      <w:r w:rsidR="00EF6618" w:rsidRPr="001F4D0F">
        <w:rPr>
          <w:szCs w:val="22"/>
        </w:rPr>
        <w:t xml:space="preserve">. </w:t>
      </w:r>
      <w:r w:rsidR="00EF6618">
        <w:rPr>
          <w:szCs w:val="22"/>
        </w:rPr>
        <w:t xml:space="preserve"> Transportation of the limestone will need to be unloaded by trucks, rail</w:t>
      </w:r>
      <w:r w:rsidR="00CE25CD">
        <w:rPr>
          <w:szCs w:val="22"/>
        </w:rPr>
        <w:t>car</w:t>
      </w:r>
      <w:r w:rsidR="00EF6618">
        <w:rPr>
          <w:szCs w:val="22"/>
        </w:rPr>
        <w:t xml:space="preserve">s or sea vessels depending on </w:t>
      </w:r>
      <w:r w:rsidR="00EF6618" w:rsidRPr="001F4D0F">
        <w:rPr>
          <w:szCs w:val="22"/>
        </w:rPr>
        <w:t xml:space="preserve">the </w:t>
      </w:r>
      <w:r w:rsidR="00EF6618">
        <w:rPr>
          <w:szCs w:val="22"/>
        </w:rPr>
        <w:t>location of the sources that produce limestone.  TEC is currently authorized to receive limestone via truck unloading.  Therefore, TEC is requesting to temporarily unload limestone transported by rail</w:t>
      </w:r>
      <w:r w:rsidR="00CE25CD">
        <w:rPr>
          <w:szCs w:val="22"/>
        </w:rPr>
        <w:t>car</w:t>
      </w:r>
      <w:r w:rsidR="00EF6618">
        <w:rPr>
          <w:szCs w:val="22"/>
        </w:rPr>
        <w:t xml:space="preserve"> and/or sea vessel while evaluating other sources of limestone.</w:t>
      </w:r>
      <w:r w:rsidR="00EF6618" w:rsidRPr="006C5246">
        <w:rPr>
          <w:szCs w:val="22"/>
        </w:rPr>
        <w:t xml:space="preserve"> </w:t>
      </w:r>
    </w:p>
    <w:p w:rsidR="00EF6618" w:rsidRDefault="00EF6618" w:rsidP="00EF6618">
      <w:pPr>
        <w:pStyle w:val="BodyText3"/>
        <w:widowControl w:val="0"/>
        <w:rPr>
          <w:szCs w:val="22"/>
        </w:rPr>
      </w:pPr>
      <w:r w:rsidRPr="00EF6618">
        <w:rPr>
          <w:szCs w:val="22"/>
        </w:rPr>
        <w:t xml:space="preserve">If it is determined that new limestone will be </w:t>
      </w:r>
      <w:r w:rsidR="009A5405">
        <w:rPr>
          <w:szCs w:val="22"/>
        </w:rPr>
        <w:t xml:space="preserve">permanently </w:t>
      </w:r>
      <w:r w:rsidRPr="00EF6618">
        <w:rPr>
          <w:szCs w:val="22"/>
        </w:rPr>
        <w:t xml:space="preserve">transported by </w:t>
      </w:r>
      <w:r w:rsidR="009A5405">
        <w:rPr>
          <w:szCs w:val="22"/>
        </w:rPr>
        <w:t xml:space="preserve">truck, </w:t>
      </w:r>
      <w:r w:rsidRPr="00EF6618">
        <w:rPr>
          <w:szCs w:val="22"/>
        </w:rPr>
        <w:t>rail</w:t>
      </w:r>
      <w:r w:rsidR="00567D37">
        <w:rPr>
          <w:szCs w:val="22"/>
        </w:rPr>
        <w:t>car</w:t>
      </w:r>
      <w:r w:rsidRPr="00EF6618">
        <w:rPr>
          <w:szCs w:val="22"/>
        </w:rPr>
        <w:t xml:space="preserve"> or sea vessel, TEC will submit an application to obtain an air construction permit.  The project is planned to commence in late February 2015.  </w:t>
      </w:r>
    </w:p>
    <w:p w:rsidR="00401715" w:rsidRDefault="00401715" w:rsidP="009A5405">
      <w:pPr>
        <w:pStyle w:val="Caption"/>
        <w:spacing w:after="120"/>
        <w:rPr>
          <w:b w:val="0"/>
          <w:sz w:val="22"/>
          <w:szCs w:val="22"/>
        </w:rPr>
      </w:pPr>
      <w:r w:rsidRPr="009A5405">
        <w:rPr>
          <w:b w:val="0"/>
          <w:sz w:val="22"/>
          <w:szCs w:val="22"/>
        </w:rPr>
        <w:t xml:space="preserve">The following existing emissions units (EU) </w:t>
      </w:r>
      <w:r w:rsidR="009A5405" w:rsidRPr="009A5405">
        <w:rPr>
          <w:b w:val="0"/>
          <w:sz w:val="22"/>
          <w:szCs w:val="22"/>
        </w:rPr>
        <w:t xml:space="preserve">given in </w:t>
      </w:r>
      <w:r w:rsidR="009A5405" w:rsidRPr="009A5405">
        <w:rPr>
          <w:sz w:val="22"/>
          <w:szCs w:val="22"/>
        </w:rPr>
        <w:fldChar w:fldCharType="begin"/>
      </w:r>
      <w:r w:rsidR="009A5405" w:rsidRPr="009A5405">
        <w:rPr>
          <w:sz w:val="22"/>
          <w:szCs w:val="22"/>
        </w:rPr>
        <w:instrText xml:space="preserve"> REF _Ref412550466 \h </w:instrText>
      </w:r>
      <w:r w:rsidR="009A5405" w:rsidRPr="009A5405">
        <w:rPr>
          <w:sz w:val="22"/>
          <w:szCs w:val="22"/>
        </w:rPr>
      </w:r>
      <w:r w:rsidR="009A5405" w:rsidRPr="009A5405">
        <w:rPr>
          <w:sz w:val="22"/>
          <w:szCs w:val="22"/>
        </w:rPr>
        <w:instrText xml:space="preserve"> \* MERGEFORMAT </w:instrText>
      </w:r>
      <w:r w:rsidR="009A5405" w:rsidRPr="009A5405">
        <w:rPr>
          <w:sz w:val="22"/>
          <w:szCs w:val="22"/>
        </w:rPr>
        <w:fldChar w:fldCharType="separate"/>
      </w:r>
      <w:r w:rsidR="009A5405" w:rsidRPr="009A5405">
        <w:rPr>
          <w:sz w:val="22"/>
          <w:szCs w:val="22"/>
        </w:rPr>
        <w:t xml:space="preserve">Table </w:t>
      </w:r>
      <w:r w:rsidR="009A5405" w:rsidRPr="009A5405">
        <w:rPr>
          <w:noProof/>
          <w:sz w:val="22"/>
          <w:szCs w:val="22"/>
        </w:rPr>
        <w:t>1</w:t>
      </w:r>
      <w:r w:rsidR="009A5405" w:rsidRPr="009A5405">
        <w:rPr>
          <w:sz w:val="22"/>
          <w:szCs w:val="22"/>
        </w:rPr>
        <w:fldChar w:fldCharType="end"/>
      </w:r>
      <w:r w:rsidR="009A5405">
        <w:rPr>
          <w:b w:val="0"/>
          <w:sz w:val="22"/>
          <w:szCs w:val="22"/>
        </w:rPr>
        <w:t xml:space="preserve"> </w:t>
      </w:r>
      <w:r w:rsidRPr="009A5405">
        <w:rPr>
          <w:b w:val="0"/>
          <w:sz w:val="22"/>
          <w:szCs w:val="22"/>
        </w:rPr>
        <w:t>will be affected by this project.</w:t>
      </w:r>
    </w:p>
    <w:p w:rsidR="009A5405" w:rsidRPr="009A5405" w:rsidRDefault="009A5405" w:rsidP="009A5405">
      <w:pPr>
        <w:spacing w:after="120"/>
        <w:jc w:val="center"/>
        <w:rPr>
          <w:b/>
          <w:caps/>
        </w:rPr>
      </w:pPr>
      <w:bookmarkStart w:id="2" w:name="_Ref412550466"/>
      <w:r w:rsidRPr="009A5405">
        <w:rPr>
          <w:b/>
          <w:caps/>
          <w:sz w:val="22"/>
          <w:szCs w:val="22"/>
        </w:rPr>
        <w:t xml:space="preserve">Table </w:t>
      </w:r>
      <w:r w:rsidRPr="009A5405">
        <w:rPr>
          <w:b/>
          <w:caps/>
          <w:sz w:val="22"/>
          <w:szCs w:val="22"/>
        </w:rPr>
        <w:fldChar w:fldCharType="begin"/>
      </w:r>
      <w:r w:rsidRPr="009A5405">
        <w:rPr>
          <w:b/>
          <w:caps/>
          <w:sz w:val="22"/>
          <w:szCs w:val="22"/>
        </w:rPr>
        <w:instrText xml:space="preserve"> SEQ Table \* ARABIC </w:instrText>
      </w:r>
      <w:r w:rsidRPr="009A5405">
        <w:rPr>
          <w:b/>
          <w:caps/>
          <w:sz w:val="22"/>
          <w:szCs w:val="22"/>
        </w:rPr>
        <w:fldChar w:fldCharType="separate"/>
      </w:r>
      <w:r>
        <w:rPr>
          <w:b/>
          <w:caps/>
          <w:noProof/>
          <w:sz w:val="22"/>
          <w:szCs w:val="22"/>
        </w:rPr>
        <w:t>1</w:t>
      </w:r>
      <w:r w:rsidRPr="009A5405">
        <w:rPr>
          <w:b/>
          <w:caps/>
          <w:sz w:val="22"/>
          <w:szCs w:val="22"/>
        </w:rPr>
        <w:fldChar w:fldCharType="end"/>
      </w:r>
      <w:bookmarkEnd w:id="2"/>
      <w:r w:rsidRPr="009A5405">
        <w:rPr>
          <w:b/>
          <w:caps/>
          <w:sz w:val="22"/>
          <w:szCs w:val="22"/>
        </w:rPr>
        <w:t xml:space="preserve"> – Affected Emission Units.</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05"/>
        <w:gridCol w:w="8445"/>
      </w:tblGrid>
      <w:tr w:rsidR="00401715" w:rsidTr="00401715">
        <w:tc>
          <w:tcPr>
            <w:tcW w:w="1605" w:type="dxa"/>
            <w:tcBorders>
              <w:bottom w:val="single" w:sz="12" w:space="0" w:color="auto"/>
            </w:tcBorders>
            <w:vAlign w:val="center"/>
          </w:tcPr>
          <w:p w:rsidR="00401715" w:rsidRPr="00111DBE" w:rsidRDefault="00401715" w:rsidP="00926A20">
            <w:pPr>
              <w:pStyle w:val="BodyText2"/>
              <w:spacing w:before="60" w:after="60"/>
              <w:jc w:val="center"/>
              <w:rPr>
                <w:b/>
                <w:sz w:val="20"/>
              </w:rPr>
            </w:pPr>
            <w:r>
              <w:rPr>
                <w:b/>
                <w:sz w:val="20"/>
              </w:rPr>
              <w:t>EU No.</w:t>
            </w:r>
          </w:p>
        </w:tc>
        <w:tc>
          <w:tcPr>
            <w:tcW w:w="8445" w:type="dxa"/>
            <w:tcBorders>
              <w:bottom w:val="single" w:sz="12" w:space="0" w:color="auto"/>
            </w:tcBorders>
            <w:vAlign w:val="center"/>
          </w:tcPr>
          <w:p w:rsidR="00401715" w:rsidRPr="00111DBE" w:rsidRDefault="00401715" w:rsidP="00926A20">
            <w:pPr>
              <w:pStyle w:val="BodyText2"/>
              <w:spacing w:before="60" w:after="60"/>
              <w:jc w:val="left"/>
              <w:rPr>
                <w:b/>
                <w:sz w:val="20"/>
              </w:rPr>
            </w:pPr>
            <w:r>
              <w:rPr>
                <w:b/>
                <w:sz w:val="20"/>
              </w:rPr>
              <w:t>Brief Description</w:t>
            </w:r>
          </w:p>
        </w:tc>
      </w:tr>
      <w:tr w:rsidR="00401715" w:rsidTr="00401715">
        <w:tc>
          <w:tcPr>
            <w:tcW w:w="1605" w:type="dxa"/>
            <w:tcBorders>
              <w:bottom w:val="single" w:sz="8" w:space="0" w:color="auto"/>
            </w:tcBorders>
            <w:vAlign w:val="center"/>
          </w:tcPr>
          <w:p w:rsidR="00401715" w:rsidRPr="00111DBE" w:rsidRDefault="00401715" w:rsidP="00926A20">
            <w:pPr>
              <w:pStyle w:val="BodyText2"/>
              <w:spacing w:after="0"/>
              <w:jc w:val="center"/>
              <w:rPr>
                <w:sz w:val="20"/>
              </w:rPr>
            </w:pPr>
            <w:r w:rsidRPr="00111DBE">
              <w:rPr>
                <w:sz w:val="20"/>
              </w:rPr>
              <w:t>010</w:t>
            </w:r>
          </w:p>
        </w:tc>
        <w:tc>
          <w:tcPr>
            <w:tcW w:w="8445" w:type="dxa"/>
            <w:tcBorders>
              <w:bottom w:val="single" w:sz="8" w:space="0" w:color="auto"/>
            </w:tcBorders>
            <w:vAlign w:val="center"/>
          </w:tcPr>
          <w:p w:rsidR="00401715" w:rsidRPr="00111DBE" w:rsidRDefault="00401715" w:rsidP="00926A20">
            <w:pPr>
              <w:pStyle w:val="BodyText2"/>
              <w:spacing w:after="0"/>
              <w:jc w:val="left"/>
              <w:rPr>
                <w:sz w:val="20"/>
              </w:rPr>
            </w:pPr>
            <w:r w:rsidRPr="00111DBE">
              <w:rPr>
                <w:sz w:val="20"/>
              </w:rPr>
              <w:t>Fuel Unloading and Handling Operations</w:t>
            </w:r>
          </w:p>
        </w:tc>
      </w:tr>
      <w:tr w:rsidR="00401715" w:rsidTr="00401715">
        <w:tc>
          <w:tcPr>
            <w:tcW w:w="1605" w:type="dxa"/>
            <w:tcBorders>
              <w:top w:val="single" w:sz="8" w:space="0" w:color="auto"/>
            </w:tcBorders>
            <w:vAlign w:val="center"/>
          </w:tcPr>
          <w:p w:rsidR="00401715" w:rsidRPr="00111DBE" w:rsidRDefault="00401715" w:rsidP="00926A20">
            <w:pPr>
              <w:pStyle w:val="BodyText2"/>
              <w:spacing w:after="0"/>
              <w:jc w:val="center"/>
              <w:rPr>
                <w:sz w:val="20"/>
              </w:rPr>
            </w:pPr>
            <w:r>
              <w:rPr>
                <w:sz w:val="20"/>
              </w:rPr>
              <w:lastRenderedPageBreak/>
              <w:t>047</w:t>
            </w:r>
          </w:p>
        </w:tc>
        <w:tc>
          <w:tcPr>
            <w:tcW w:w="8445" w:type="dxa"/>
            <w:tcBorders>
              <w:top w:val="single" w:sz="8" w:space="0" w:color="auto"/>
            </w:tcBorders>
            <w:vAlign w:val="center"/>
          </w:tcPr>
          <w:p w:rsidR="00401715" w:rsidRPr="00111DBE" w:rsidRDefault="00401715" w:rsidP="00926A20">
            <w:pPr>
              <w:pStyle w:val="BodyText2"/>
              <w:spacing w:after="0"/>
              <w:jc w:val="left"/>
              <w:rPr>
                <w:sz w:val="20"/>
              </w:rPr>
            </w:pPr>
            <w:r>
              <w:rPr>
                <w:sz w:val="20"/>
              </w:rPr>
              <w:t>Railcar Unloading and Conveying System</w:t>
            </w:r>
          </w:p>
        </w:tc>
      </w:tr>
    </w:tbl>
    <w:p w:rsidR="001C4E37" w:rsidRPr="009A5405" w:rsidRDefault="001C4E37" w:rsidP="009A5405">
      <w:pPr>
        <w:pStyle w:val="ListParagraph"/>
        <w:numPr>
          <w:ilvl w:val="1"/>
          <w:numId w:val="8"/>
        </w:numPr>
        <w:spacing w:before="120" w:after="120"/>
        <w:ind w:left="720" w:hanging="720"/>
        <w:contextualSpacing w:val="0"/>
        <w:rPr>
          <w:b/>
          <w:bCs/>
          <w:sz w:val="22"/>
          <w:szCs w:val="22"/>
        </w:rPr>
      </w:pPr>
      <w:r w:rsidRPr="009A5405">
        <w:rPr>
          <w:b/>
          <w:bCs/>
          <w:sz w:val="22"/>
          <w:szCs w:val="22"/>
        </w:rPr>
        <w:t>Processing Schedule</w:t>
      </w:r>
    </w:p>
    <w:p w:rsidR="001C4E37" w:rsidRDefault="00EF6618" w:rsidP="00026723">
      <w:pPr>
        <w:pStyle w:val="BodyText"/>
        <w:numPr>
          <w:ilvl w:val="12"/>
          <w:numId w:val="0"/>
        </w:numPr>
        <w:tabs>
          <w:tab w:val="left" w:pos="990"/>
        </w:tabs>
        <w:rPr>
          <w:sz w:val="22"/>
        </w:rPr>
      </w:pPr>
      <w:r>
        <w:rPr>
          <w:sz w:val="22"/>
        </w:rPr>
        <w:t>02/09/2015</w:t>
      </w:r>
      <w:r w:rsidR="001C4E37" w:rsidRPr="00782ABD">
        <w:rPr>
          <w:sz w:val="22"/>
        </w:rPr>
        <w:tab/>
        <w:t>Received the application for a minor source air pollution construction permit.</w:t>
      </w:r>
    </w:p>
    <w:p w:rsidR="009A5405" w:rsidRPr="00782ABD" w:rsidRDefault="009A5405" w:rsidP="00026723">
      <w:pPr>
        <w:pStyle w:val="BodyText"/>
        <w:numPr>
          <w:ilvl w:val="12"/>
          <w:numId w:val="0"/>
        </w:numPr>
        <w:tabs>
          <w:tab w:val="left" w:pos="990"/>
        </w:tabs>
        <w:rPr>
          <w:sz w:val="22"/>
        </w:rPr>
      </w:pPr>
      <w:r>
        <w:rPr>
          <w:sz w:val="22"/>
        </w:rPr>
        <w:t>02/24/2015</w:t>
      </w:r>
      <w:r>
        <w:rPr>
          <w:sz w:val="22"/>
        </w:rPr>
        <w:tab/>
        <w:t>Issued exemption package</w:t>
      </w:r>
    </w:p>
    <w:p w:rsidR="00193F10" w:rsidRDefault="00617209" w:rsidP="009A5405">
      <w:pPr>
        <w:pStyle w:val="ListParagraph"/>
        <w:numPr>
          <w:ilvl w:val="0"/>
          <w:numId w:val="8"/>
        </w:numPr>
        <w:spacing w:after="120"/>
        <w:ind w:left="720" w:hanging="720"/>
        <w:contextualSpacing w:val="0"/>
        <w:rPr>
          <w:b/>
          <w:caps/>
          <w:sz w:val="22"/>
        </w:rPr>
      </w:pPr>
      <w:r>
        <w:rPr>
          <w:b/>
          <w:caps/>
          <w:sz w:val="22"/>
        </w:rPr>
        <w:t>Department review</w:t>
      </w:r>
    </w:p>
    <w:p w:rsidR="00401715" w:rsidRDefault="0032753D" w:rsidP="00EF6618">
      <w:pPr>
        <w:pStyle w:val="BodyText3"/>
        <w:widowControl w:val="0"/>
        <w:rPr>
          <w:szCs w:val="22"/>
        </w:rPr>
      </w:pPr>
      <w:r>
        <w:rPr>
          <w:szCs w:val="22"/>
        </w:rPr>
        <w:t>W</w:t>
      </w:r>
      <w:r w:rsidR="006A0603">
        <w:rPr>
          <w:szCs w:val="22"/>
        </w:rPr>
        <w:t>et FGD system</w:t>
      </w:r>
      <w:r>
        <w:rPr>
          <w:szCs w:val="22"/>
        </w:rPr>
        <w:t>s are</w:t>
      </w:r>
      <w:r w:rsidR="006A0603">
        <w:rPr>
          <w:szCs w:val="22"/>
        </w:rPr>
        <w:t xml:space="preserve"> primarily used to reduce emission of SO</w:t>
      </w:r>
      <w:r w:rsidR="006A0603" w:rsidRPr="00A53A59">
        <w:rPr>
          <w:szCs w:val="22"/>
          <w:vertAlign w:val="subscript"/>
        </w:rPr>
        <w:t>2</w:t>
      </w:r>
      <w:r w:rsidR="006A0603">
        <w:rPr>
          <w:szCs w:val="22"/>
        </w:rPr>
        <w:t xml:space="preserve"> from exhaust flue gasses and to produce a gypsum by-product.  The </w:t>
      </w:r>
      <w:r w:rsidR="00567D37">
        <w:rPr>
          <w:szCs w:val="22"/>
        </w:rPr>
        <w:t xml:space="preserve">existing </w:t>
      </w:r>
      <w:r w:rsidR="006A0603">
        <w:rPr>
          <w:szCs w:val="22"/>
        </w:rPr>
        <w:t>FGD systems use limestone to provide alkalinity to scrub gases to remove SO</w:t>
      </w:r>
      <w:r w:rsidR="006A0603" w:rsidRPr="002B37E9">
        <w:rPr>
          <w:szCs w:val="22"/>
          <w:vertAlign w:val="subscript"/>
        </w:rPr>
        <w:t>2</w:t>
      </w:r>
      <w:r w:rsidR="006A0603">
        <w:rPr>
          <w:szCs w:val="22"/>
        </w:rPr>
        <w:t>.  The</w:t>
      </w:r>
      <w:r w:rsidR="00567D37">
        <w:rPr>
          <w:szCs w:val="22"/>
        </w:rPr>
        <w:t>se wet scrubbers</w:t>
      </w:r>
      <w:r w:rsidR="006A0603">
        <w:rPr>
          <w:szCs w:val="22"/>
        </w:rPr>
        <w:t xml:space="preserve"> can remove up to 95% or more of SO</w:t>
      </w:r>
      <w:r w:rsidR="006A0603" w:rsidRPr="002B37E9">
        <w:rPr>
          <w:szCs w:val="22"/>
          <w:vertAlign w:val="subscript"/>
        </w:rPr>
        <w:t>2</w:t>
      </w:r>
      <w:r w:rsidR="006A0603">
        <w:rPr>
          <w:szCs w:val="22"/>
        </w:rPr>
        <w:t xml:space="preserve"> in the flue gas.</w:t>
      </w:r>
    </w:p>
    <w:p w:rsidR="0032753D" w:rsidRPr="009A5405" w:rsidRDefault="0032753D" w:rsidP="009A5405">
      <w:pPr>
        <w:pStyle w:val="ListParagraph"/>
        <w:numPr>
          <w:ilvl w:val="1"/>
          <w:numId w:val="8"/>
        </w:numPr>
        <w:spacing w:after="120"/>
        <w:ind w:left="720" w:hanging="720"/>
        <w:contextualSpacing w:val="0"/>
        <w:rPr>
          <w:b/>
          <w:caps/>
          <w:sz w:val="22"/>
          <w:szCs w:val="22"/>
        </w:rPr>
      </w:pPr>
      <w:r w:rsidRPr="009A5405">
        <w:rPr>
          <w:b/>
          <w:sz w:val="22"/>
          <w:szCs w:val="22"/>
        </w:rPr>
        <w:t>Limestone</w:t>
      </w:r>
    </w:p>
    <w:p w:rsidR="006A0603" w:rsidRDefault="00166364" w:rsidP="00EF6618">
      <w:pPr>
        <w:pStyle w:val="BodyText3"/>
        <w:widowControl w:val="0"/>
        <w:rPr>
          <w:szCs w:val="22"/>
        </w:rPr>
      </w:pPr>
      <w:r w:rsidRPr="00166364">
        <w:rPr>
          <w:noProof/>
          <w:szCs w:val="22"/>
        </w:rPr>
        <w:drawing>
          <wp:anchor distT="0" distB="0" distL="114300" distR="114300" simplePos="0" relativeHeight="251658240" behindDoc="0" locked="0" layoutInCell="1" allowOverlap="1" wp14:anchorId="47B138D5" wp14:editId="74DE0C6E">
            <wp:simplePos x="0" y="0"/>
            <wp:positionH relativeFrom="margin">
              <wp:posOffset>15875</wp:posOffset>
            </wp:positionH>
            <wp:positionV relativeFrom="paragraph">
              <wp:posOffset>64135</wp:posOffset>
            </wp:positionV>
            <wp:extent cx="1682750" cy="135826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82750" cy="1358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68D4" w:rsidRPr="00721B2E">
        <w:rPr>
          <w:szCs w:val="22"/>
        </w:rPr>
        <w:t>Limestone is a sedimentary rock composed largely of the minerals calcite and aragonite, which are different crystal forms of calcium carbonate (CaCO</w:t>
      </w:r>
      <w:r w:rsidR="00C568D4" w:rsidRPr="00721B2E">
        <w:rPr>
          <w:szCs w:val="22"/>
          <w:vertAlign w:val="subscript"/>
        </w:rPr>
        <w:t>3</w:t>
      </w:r>
      <w:r w:rsidR="00C568D4" w:rsidRPr="00721B2E">
        <w:rPr>
          <w:szCs w:val="22"/>
        </w:rPr>
        <w:t>).</w:t>
      </w:r>
      <w:r w:rsidR="00C568D4">
        <w:rPr>
          <w:szCs w:val="22"/>
        </w:rPr>
        <w:t xml:space="preserve">  </w:t>
      </w:r>
      <w:r w:rsidR="006A0603">
        <w:rPr>
          <w:szCs w:val="22"/>
        </w:rPr>
        <w:t>Limestone properties affecting the performance of the scrubber</w:t>
      </w:r>
      <w:r w:rsidR="0032753D">
        <w:rPr>
          <w:szCs w:val="22"/>
        </w:rPr>
        <w:t>s</w:t>
      </w:r>
      <w:r w:rsidR="006A0603">
        <w:rPr>
          <w:szCs w:val="22"/>
        </w:rPr>
        <w:t xml:space="preserve"> include grind (fine or course ground limestone), composition and reactivity (dolomitic fraction).  Limestone reactivity is a determinant of limestone based wet FGD system performance.  Problems that can result in low quality limestone used in the FGD systems can consist of:  scaling and solids buildup; mist eliminator pluggage; limestone blinding; poor SO</w:t>
      </w:r>
      <w:r w:rsidR="006A0603" w:rsidRPr="00632CA7">
        <w:rPr>
          <w:szCs w:val="22"/>
          <w:vertAlign w:val="subscript"/>
        </w:rPr>
        <w:t>2</w:t>
      </w:r>
      <w:r w:rsidR="006A0603">
        <w:rPr>
          <w:szCs w:val="22"/>
        </w:rPr>
        <w:t xml:space="preserve"> removal; poor reagent utilization; and poor gypsum by</w:t>
      </w:r>
      <w:r w:rsidR="003B1396">
        <w:rPr>
          <w:szCs w:val="22"/>
        </w:rPr>
        <w:t>-</w:t>
      </w:r>
      <w:r w:rsidR="006A0603">
        <w:rPr>
          <w:szCs w:val="22"/>
        </w:rPr>
        <w:t xml:space="preserve">product quality.  </w:t>
      </w:r>
    </w:p>
    <w:p w:rsidR="00401715" w:rsidRDefault="006A0603" w:rsidP="00EF6618">
      <w:pPr>
        <w:pStyle w:val="BodyText3"/>
        <w:widowControl w:val="0"/>
        <w:rPr>
          <w:szCs w:val="22"/>
        </w:rPr>
      </w:pPr>
      <w:r>
        <w:rPr>
          <w:szCs w:val="22"/>
        </w:rPr>
        <w:t xml:space="preserve">To </w:t>
      </w:r>
      <w:r w:rsidR="0032753D">
        <w:rPr>
          <w:szCs w:val="22"/>
        </w:rPr>
        <w:t>address</w:t>
      </w:r>
      <w:r>
        <w:rPr>
          <w:szCs w:val="22"/>
        </w:rPr>
        <w:t xml:space="preserve"> the problems occurring with the </w:t>
      </w:r>
      <w:r w:rsidR="003B1396">
        <w:rPr>
          <w:szCs w:val="22"/>
        </w:rPr>
        <w:t xml:space="preserve">existing </w:t>
      </w:r>
      <w:r>
        <w:rPr>
          <w:szCs w:val="22"/>
        </w:rPr>
        <w:t xml:space="preserve">FGD systems, TEC is requesting to test various types of limestone from other sources in the </w:t>
      </w:r>
      <w:r w:rsidR="003B1396">
        <w:rPr>
          <w:szCs w:val="22"/>
        </w:rPr>
        <w:t>wet scrubbers</w:t>
      </w:r>
      <w:r>
        <w:rPr>
          <w:szCs w:val="22"/>
        </w:rPr>
        <w:t>.  Due to the various locations of the sources that produce limestone, some of the new limestone will need to be delivered to the Big Bend Station by railcar</w:t>
      </w:r>
      <w:r w:rsidR="0032753D">
        <w:rPr>
          <w:szCs w:val="22"/>
        </w:rPr>
        <w:t>s</w:t>
      </w:r>
      <w:r>
        <w:rPr>
          <w:szCs w:val="22"/>
        </w:rPr>
        <w:t xml:space="preserve"> and/or sea vessel</w:t>
      </w:r>
      <w:r w:rsidR="0032753D">
        <w:rPr>
          <w:szCs w:val="22"/>
        </w:rPr>
        <w:t>s</w:t>
      </w:r>
      <w:r>
        <w:rPr>
          <w:szCs w:val="22"/>
        </w:rPr>
        <w:t>.</w:t>
      </w:r>
    </w:p>
    <w:p w:rsidR="00C568D4" w:rsidRPr="009A5405" w:rsidRDefault="0032753D" w:rsidP="009A5405">
      <w:pPr>
        <w:pStyle w:val="ListParagraph"/>
        <w:numPr>
          <w:ilvl w:val="1"/>
          <w:numId w:val="8"/>
        </w:numPr>
        <w:spacing w:after="120"/>
        <w:ind w:left="720" w:hanging="720"/>
        <w:contextualSpacing w:val="0"/>
        <w:rPr>
          <w:b/>
          <w:sz w:val="22"/>
          <w:szCs w:val="22"/>
        </w:rPr>
      </w:pPr>
      <w:r w:rsidRPr="009A5405">
        <w:rPr>
          <w:b/>
          <w:sz w:val="22"/>
          <w:szCs w:val="22"/>
        </w:rPr>
        <w:t xml:space="preserve">Sea </w:t>
      </w:r>
      <w:r w:rsidR="00C568D4" w:rsidRPr="009A5405">
        <w:rPr>
          <w:b/>
          <w:sz w:val="22"/>
          <w:szCs w:val="22"/>
        </w:rPr>
        <w:t>Vessel Material Handling</w:t>
      </w:r>
      <w:r w:rsidRPr="009A5405">
        <w:rPr>
          <w:b/>
          <w:sz w:val="22"/>
          <w:szCs w:val="22"/>
        </w:rPr>
        <w:t xml:space="preserve"> Operations</w:t>
      </w:r>
    </w:p>
    <w:p w:rsidR="00C568D4" w:rsidRDefault="00C568D4" w:rsidP="00C568D4">
      <w:pPr>
        <w:autoSpaceDE w:val="0"/>
        <w:autoSpaceDN w:val="0"/>
        <w:adjustRightInd w:val="0"/>
        <w:spacing w:after="120"/>
        <w:rPr>
          <w:sz w:val="22"/>
          <w:szCs w:val="22"/>
        </w:rPr>
      </w:pPr>
      <w:r w:rsidRPr="00C568D4">
        <w:rPr>
          <w:sz w:val="22"/>
          <w:szCs w:val="22"/>
        </w:rPr>
        <w:t>TEC proposes to utilize the existing solids fuel yard handling system to temporarily unload</w:t>
      </w:r>
      <w:r>
        <w:rPr>
          <w:sz w:val="22"/>
          <w:szCs w:val="22"/>
        </w:rPr>
        <w:t xml:space="preserve"> </w:t>
      </w:r>
      <w:r w:rsidRPr="00C568D4">
        <w:rPr>
          <w:sz w:val="22"/>
          <w:szCs w:val="22"/>
        </w:rPr>
        <w:t>limestone from the vessels and store in the south or north fuel areas.</w:t>
      </w:r>
      <w:r>
        <w:rPr>
          <w:sz w:val="22"/>
          <w:szCs w:val="22"/>
        </w:rPr>
        <w:t xml:space="preserve"> </w:t>
      </w:r>
      <w:r w:rsidRPr="00C568D4">
        <w:rPr>
          <w:sz w:val="22"/>
          <w:szCs w:val="22"/>
        </w:rPr>
        <w:t xml:space="preserve"> The PECO clam shell will</w:t>
      </w:r>
      <w:r>
        <w:rPr>
          <w:sz w:val="22"/>
          <w:szCs w:val="22"/>
        </w:rPr>
        <w:t xml:space="preserve"> </w:t>
      </w:r>
      <w:r w:rsidRPr="00C568D4">
        <w:rPr>
          <w:sz w:val="22"/>
          <w:szCs w:val="22"/>
        </w:rPr>
        <w:t xml:space="preserve">be </w:t>
      </w:r>
      <w:r w:rsidR="003B1396">
        <w:rPr>
          <w:sz w:val="22"/>
          <w:szCs w:val="22"/>
        </w:rPr>
        <w:t xml:space="preserve">used to </w:t>
      </w:r>
      <w:r w:rsidRPr="00C568D4">
        <w:rPr>
          <w:sz w:val="22"/>
          <w:szCs w:val="22"/>
        </w:rPr>
        <w:t xml:space="preserve">unload each </w:t>
      </w:r>
      <w:r w:rsidR="003B1396">
        <w:rPr>
          <w:sz w:val="22"/>
          <w:szCs w:val="22"/>
        </w:rPr>
        <w:t xml:space="preserve">sea </w:t>
      </w:r>
      <w:r w:rsidRPr="00C568D4">
        <w:rPr>
          <w:sz w:val="22"/>
          <w:szCs w:val="22"/>
        </w:rPr>
        <w:t xml:space="preserve">vessel at TEC’s dock area to existing </w:t>
      </w:r>
      <w:r w:rsidR="00E720DA">
        <w:rPr>
          <w:sz w:val="22"/>
          <w:szCs w:val="22"/>
        </w:rPr>
        <w:t>C</w:t>
      </w:r>
      <w:r w:rsidRPr="00C568D4">
        <w:rPr>
          <w:sz w:val="22"/>
          <w:szCs w:val="22"/>
        </w:rPr>
        <w:t xml:space="preserve">onveyor D1 (FH-001). </w:t>
      </w:r>
      <w:r>
        <w:rPr>
          <w:sz w:val="22"/>
          <w:szCs w:val="22"/>
        </w:rPr>
        <w:t xml:space="preserve"> </w:t>
      </w:r>
      <w:r w:rsidRPr="00C568D4">
        <w:rPr>
          <w:sz w:val="22"/>
          <w:szCs w:val="22"/>
        </w:rPr>
        <w:t>The material</w:t>
      </w:r>
      <w:r>
        <w:rPr>
          <w:sz w:val="22"/>
          <w:szCs w:val="22"/>
        </w:rPr>
        <w:t xml:space="preserve"> </w:t>
      </w:r>
      <w:r w:rsidRPr="00C568D4">
        <w:rPr>
          <w:sz w:val="22"/>
          <w:szCs w:val="22"/>
        </w:rPr>
        <w:t xml:space="preserve">will be transferred to the radially stack through existing </w:t>
      </w:r>
      <w:r w:rsidR="00E720DA">
        <w:rPr>
          <w:sz w:val="22"/>
          <w:szCs w:val="22"/>
        </w:rPr>
        <w:t>C</w:t>
      </w:r>
      <w:r w:rsidRPr="00C568D4">
        <w:rPr>
          <w:sz w:val="22"/>
          <w:szCs w:val="22"/>
        </w:rPr>
        <w:t xml:space="preserve">onveyors D1, E1 and F1. </w:t>
      </w:r>
      <w:r>
        <w:rPr>
          <w:sz w:val="22"/>
          <w:szCs w:val="22"/>
        </w:rPr>
        <w:t xml:space="preserve"> </w:t>
      </w:r>
      <w:r w:rsidRPr="00C568D4">
        <w:rPr>
          <w:sz w:val="22"/>
          <w:szCs w:val="22"/>
        </w:rPr>
        <w:t>The existing</w:t>
      </w:r>
      <w:r>
        <w:rPr>
          <w:sz w:val="22"/>
          <w:szCs w:val="22"/>
        </w:rPr>
        <w:t xml:space="preserve"> </w:t>
      </w:r>
      <w:r w:rsidRPr="00C568D4">
        <w:rPr>
          <w:sz w:val="22"/>
          <w:szCs w:val="22"/>
        </w:rPr>
        <w:t>south stacker/reclaimer system will radially stack the limestone in a designated area in the south</w:t>
      </w:r>
      <w:r>
        <w:rPr>
          <w:sz w:val="22"/>
          <w:szCs w:val="22"/>
        </w:rPr>
        <w:t xml:space="preserve"> </w:t>
      </w:r>
      <w:r w:rsidRPr="00C568D4">
        <w:rPr>
          <w:sz w:val="22"/>
          <w:szCs w:val="22"/>
        </w:rPr>
        <w:t>or north fuel yard</w:t>
      </w:r>
      <w:r w:rsidR="003B1396">
        <w:rPr>
          <w:sz w:val="22"/>
          <w:szCs w:val="22"/>
        </w:rPr>
        <w:t>s</w:t>
      </w:r>
      <w:r w:rsidRPr="00C568D4">
        <w:rPr>
          <w:sz w:val="22"/>
          <w:szCs w:val="22"/>
        </w:rPr>
        <w:t>.</w:t>
      </w:r>
      <w:r>
        <w:rPr>
          <w:sz w:val="22"/>
          <w:szCs w:val="22"/>
        </w:rPr>
        <w:t xml:space="preserve"> </w:t>
      </w:r>
      <w:r w:rsidRPr="00C568D4">
        <w:rPr>
          <w:sz w:val="22"/>
          <w:szCs w:val="22"/>
        </w:rPr>
        <w:t xml:space="preserve"> Heavy equipment such as track hoe loader will load each truck</w:t>
      </w:r>
      <w:r w:rsidR="006E1EE7">
        <w:rPr>
          <w:sz w:val="22"/>
          <w:szCs w:val="22"/>
        </w:rPr>
        <w:t xml:space="preserve"> to</w:t>
      </w:r>
      <w:r>
        <w:rPr>
          <w:sz w:val="22"/>
          <w:szCs w:val="22"/>
        </w:rPr>
        <w:t xml:space="preserve"> </w:t>
      </w:r>
      <w:r w:rsidRPr="00C568D4">
        <w:rPr>
          <w:sz w:val="22"/>
          <w:szCs w:val="22"/>
        </w:rPr>
        <w:t xml:space="preserve">haul the </w:t>
      </w:r>
      <w:r w:rsidR="006E1EE7">
        <w:rPr>
          <w:sz w:val="22"/>
          <w:szCs w:val="22"/>
        </w:rPr>
        <w:t xml:space="preserve">new </w:t>
      </w:r>
      <w:r w:rsidRPr="00C568D4">
        <w:rPr>
          <w:sz w:val="22"/>
          <w:szCs w:val="22"/>
        </w:rPr>
        <w:t>limestone to the existing unloading area located on the east side of the facility (FH-027,</w:t>
      </w:r>
      <w:r>
        <w:rPr>
          <w:sz w:val="22"/>
          <w:szCs w:val="22"/>
        </w:rPr>
        <w:t xml:space="preserve"> </w:t>
      </w:r>
      <w:r w:rsidRPr="00C568D4">
        <w:rPr>
          <w:sz w:val="22"/>
          <w:szCs w:val="22"/>
        </w:rPr>
        <w:t xml:space="preserve">FH-072, FH-073, FH-064). </w:t>
      </w:r>
      <w:r>
        <w:rPr>
          <w:sz w:val="22"/>
          <w:szCs w:val="22"/>
        </w:rPr>
        <w:t xml:space="preserve"> </w:t>
      </w:r>
      <w:r w:rsidR="006E1EE7" w:rsidRPr="006E1EE7">
        <w:rPr>
          <w:b/>
          <w:sz w:val="22"/>
          <w:szCs w:val="22"/>
        </w:rPr>
        <w:fldChar w:fldCharType="begin"/>
      </w:r>
      <w:r w:rsidR="006E1EE7" w:rsidRPr="006E1EE7">
        <w:rPr>
          <w:b/>
          <w:sz w:val="22"/>
          <w:szCs w:val="22"/>
        </w:rPr>
        <w:instrText xml:space="preserve"> REF _Ref412186032 \h </w:instrText>
      </w:r>
      <w:r w:rsidR="006E1EE7">
        <w:rPr>
          <w:b/>
          <w:sz w:val="22"/>
          <w:szCs w:val="22"/>
        </w:rPr>
        <w:instrText xml:space="preserve"> \* MERGEFORMAT </w:instrText>
      </w:r>
      <w:r w:rsidR="006E1EE7" w:rsidRPr="006E1EE7">
        <w:rPr>
          <w:b/>
          <w:sz w:val="22"/>
          <w:szCs w:val="22"/>
        </w:rPr>
      </w:r>
      <w:r w:rsidR="006E1EE7" w:rsidRPr="006E1EE7">
        <w:rPr>
          <w:b/>
          <w:sz w:val="22"/>
          <w:szCs w:val="22"/>
        </w:rPr>
        <w:fldChar w:fldCharType="separate"/>
      </w:r>
      <w:r w:rsidR="009A5405" w:rsidRPr="009A5405">
        <w:rPr>
          <w:b/>
          <w:sz w:val="22"/>
          <w:szCs w:val="22"/>
        </w:rPr>
        <w:t xml:space="preserve">Table </w:t>
      </w:r>
      <w:r w:rsidR="009A5405" w:rsidRPr="009A5405">
        <w:rPr>
          <w:b/>
          <w:noProof/>
          <w:sz w:val="22"/>
          <w:szCs w:val="22"/>
        </w:rPr>
        <w:t>2</w:t>
      </w:r>
      <w:r w:rsidR="006E1EE7" w:rsidRPr="006E1EE7">
        <w:rPr>
          <w:b/>
          <w:sz w:val="22"/>
          <w:szCs w:val="22"/>
        </w:rPr>
        <w:fldChar w:fldCharType="end"/>
      </w:r>
      <w:r w:rsidR="006E1EE7">
        <w:rPr>
          <w:sz w:val="22"/>
          <w:szCs w:val="22"/>
        </w:rPr>
        <w:t xml:space="preserve"> </w:t>
      </w:r>
      <w:r w:rsidRPr="00C568D4">
        <w:rPr>
          <w:sz w:val="22"/>
          <w:szCs w:val="22"/>
        </w:rPr>
        <w:t>shows the existing equipment and transfer points that will be</w:t>
      </w:r>
      <w:r>
        <w:rPr>
          <w:sz w:val="22"/>
          <w:szCs w:val="22"/>
        </w:rPr>
        <w:t xml:space="preserve"> </w:t>
      </w:r>
      <w:r w:rsidR="00E720DA">
        <w:rPr>
          <w:sz w:val="22"/>
          <w:szCs w:val="22"/>
        </w:rPr>
        <w:t>used</w:t>
      </w:r>
      <w:r w:rsidRPr="00C568D4">
        <w:rPr>
          <w:sz w:val="22"/>
          <w:szCs w:val="22"/>
        </w:rPr>
        <w:t xml:space="preserve"> </w:t>
      </w:r>
      <w:r w:rsidR="006E1EE7">
        <w:rPr>
          <w:sz w:val="22"/>
          <w:szCs w:val="22"/>
        </w:rPr>
        <w:t xml:space="preserve">to transfer the limestone from </w:t>
      </w:r>
      <w:r w:rsidR="003B1396">
        <w:rPr>
          <w:sz w:val="22"/>
          <w:szCs w:val="22"/>
        </w:rPr>
        <w:t xml:space="preserve">the </w:t>
      </w:r>
      <w:r w:rsidR="006E1EE7">
        <w:rPr>
          <w:sz w:val="22"/>
          <w:szCs w:val="22"/>
        </w:rPr>
        <w:t>sea vessels</w:t>
      </w:r>
      <w:r w:rsidRPr="00C568D4">
        <w:rPr>
          <w:sz w:val="22"/>
          <w:szCs w:val="22"/>
        </w:rPr>
        <w:t>.</w:t>
      </w:r>
    </w:p>
    <w:p w:rsidR="006E1EE7" w:rsidRPr="009A5405" w:rsidRDefault="006E1EE7" w:rsidP="003B1396">
      <w:pPr>
        <w:pStyle w:val="Caption"/>
        <w:spacing w:after="120"/>
        <w:jc w:val="center"/>
        <w:rPr>
          <w:caps/>
          <w:sz w:val="22"/>
          <w:szCs w:val="22"/>
        </w:rPr>
      </w:pPr>
      <w:bookmarkStart w:id="3" w:name="_Ref412186032"/>
      <w:r w:rsidRPr="009A5405">
        <w:rPr>
          <w:caps/>
          <w:sz w:val="22"/>
          <w:szCs w:val="22"/>
        </w:rPr>
        <w:t xml:space="preserve">Table </w:t>
      </w:r>
      <w:r w:rsidRPr="009A5405">
        <w:rPr>
          <w:caps/>
          <w:sz w:val="22"/>
          <w:szCs w:val="22"/>
        </w:rPr>
        <w:fldChar w:fldCharType="begin"/>
      </w:r>
      <w:r w:rsidRPr="009A5405">
        <w:rPr>
          <w:caps/>
          <w:sz w:val="22"/>
          <w:szCs w:val="22"/>
        </w:rPr>
        <w:instrText xml:space="preserve"> SEQ Table \* ARABIC </w:instrText>
      </w:r>
      <w:r w:rsidRPr="009A5405">
        <w:rPr>
          <w:caps/>
          <w:sz w:val="22"/>
          <w:szCs w:val="22"/>
        </w:rPr>
        <w:fldChar w:fldCharType="separate"/>
      </w:r>
      <w:r w:rsidR="009A5405">
        <w:rPr>
          <w:caps/>
          <w:noProof/>
          <w:sz w:val="22"/>
          <w:szCs w:val="22"/>
        </w:rPr>
        <w:t>2</w:t>
      </w:r>
      <w:r w:rsidRPr="009A5405">
        <w:rPr>
          <w:caps/>
          <w:sz w:val="22"/>
          <w:szCs w:val="22"/>
        </w:rPr>
        <w:fldChar w:fldCharType="end"/>
      </w:r>
      <w:bookmarkEnd w:id="3"/>
      <w:r w:rsidR="009A5405">
        <w:rPr>
          <w:caps/>
          <w:sz w:val="22"/>
          <w:szCs w:val="22"/>
        </w:rPr>
        <w:t xml:space="preserve"> - </w:t>
      </w:r>
      <w:r w:rsidRPr="009A5405">
        <w:rPr>
          <w:caps/>
          <w:sz w:val="22"/>
          <w:szCs w:val="22"/>
        </w:rPr>
        <w:t>Sea Vessel Equipment and Transfer Points</w:t>
      </w:r>
      <w:r w:rsidR="009A5405">
        <w:rPr>
          <w:caps/>
          <w:sz w:val="22"/>
          <w:szCs w:val="22"/>
        </w:rPr>
        <w:t>.</w:t>
      </w:r>
    </w:p>
    <w:tbl>
      <w:tblPr>
        <w:tblW w:w="1038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3"/>
        <w:gridCol w:w="5637"/>
        <w:gridCol w:w="2643"/>
      </w:tblGrid>
      <w:tr w:rsidR="00C568D4" w:rsidRPr="00C568D4" w:rsidTr="003B1396">
        <w:trPr>
          <w:tblHeader/>
        </w:trPr>
        <w:tc>
          <w:tcPr>
            <w:tcW w:w="10383" w:type="dxa"/>
            <w:gridSpan w:val="3"/>
            <w:tcBorders>
              <w:top w:val="single" w:sz="12" w:space="0" w:color="auto"/>
              <w:bottom w:val="single" w:sz="12" w:space="0" w:color="auto"/>
            </w:tcBorders>
            <w:shd w:val="clear" w:color="auto" w:fill="C6D9F1" w:themeFill="text2" w:themeFillTint="33"/>
            <w:vAlign w:val="center"/>
          </w:tcPr>
          <w:p w:rsidR="00C568D4" w:rsidRPr="00C568D4" w:rsidRDefault="00C568D4" w:rsidP="00C568D4">
            <w:pPr>
              <w:spacing w:before="60" w:after="60"/>
              <w:jc w:val="center"/>
              <w:rPr>
                <w:b/>
              </w:rPr>
            </w:pPr>
            <w:r w:rsidRPr="00C568D4">
              <w:rPr>
                <w:b/>
              </w:rPr>
              <w:t>Solid Fuel Yard Unloading and Handling Operations (EU 010)</w:t>
            </w:r>
          </w:p>
        </w:tc>
      </w:tr>
      <w:tr w:rsidR="00C568D4" w:rsidRPr="00C568D4" w:rsidTr="003B1396">
        <w:trPr>
          <w:tblHeader/>
        </w:trPr>
        <w:tc>
          <w:tcPr>
            <w:tcW w:w="2103" w:type="dxa"/>
            <w:tcBorders>
              <w:top w:val="single" w:sz="12" w:space="0" w:color="auto"/>
              <w:bottom w:val="single" w:sz="12" w:space="0" w:color="auto"/>
              <w:right w:val="single" w:sz="12" w:space="0" w:color="auto"/>
            </w:tcBorders>
            <w:shd w:val="clear" w:color="auto" w:fill="C6D9F1" w:themeFill="text2" w:themeFillTint="33"/>
            <w:vAlign w:val="center"/>
          </w:tcPr>
          <w:p w:rsidR="00C568D4" w:rsidRPr="00C568D4" w:rsidRDefault="00C568D4" w:rsidP="00C568D4">
            <w:pPr>
              <w:jc w:val="center"/>
              <w:rPr>
                <w:b/>
              </w:rPr>
            </w:pPr>
            <w:r w:rsidRPr="00C568D4">
              <w:rPr>
                <w:b/>
              </w:rPr>
              <w:t>Point ID</w:t>
            </w:r>
          </w:p>
        </w:tc>
        <w:tc>
          <w:tcPr>
            <w:tcW w:w="5637" w:type="dxa"/>
            <w:tcBorders>
              <w:top w:val="single" w:sz="12" w:space="0" w:color="auto"/>
              <w:left w:val="single" w:sz="12" w:space="0" w:color="auto"/>
              <w:bottom w:val="single" w:sz="12" w:space="0" w:color="auto"/>
              <w:right w:val="single" w:sz="12" w:space="0" w:color="auto"/>
            </w:tcBorders>
            <w:shd w:val="clear" w:color="auto" w:fill="C6D9F1" w:themeFill="text2" w:themeFillTint="33"/>
            <w:vAlign w:val="center"/>
          </w:tcPr>
          <w:p w:rsidR="00C568D4" w:rsidRPr="00C568D4" w:rsidRDefault="00C568D4" w:rsidP="00C568D4">
            <w:pPr>
              <w:jc w:val="center"/>
              <w:rPr>
                <w:b/>
              </w:rPr>
            </w:pPr>
            <w:r w:rsidRPr="00C568D4">
              <w:rPr>
                <w:b/>
              </w:rPr>
              <w:t>Brief Description</w:t>
            </w:r>
          </w:p>
        </w:tc>
        <w:tc>
          <w:tcPr>
            <w:tcW w:w="2643" w:type="dxa"/>
            <w:tcBorders>
              <w:top w:val="single" w:sz="12" w:space="0" w:color="auto"/>
              <w:left w:val="single" w:sz="12" w:space="0" w:color="auto"/>
              <w:bottom w:val="single" w:sz="12" w:space="0" w:color="auto"/>
            </w:tcBorders>
            <w:shd w:val="clear" w:color="auto" w:fill="C6D9F1" w:themeFill="text2" w:themeFillTint="33"/>
            <w:vAlign w:val="center"/>
          </w:tcPr>
          <w:p w:rsidR="00C568D4" w:rsidRPr="00C568D4" w:rsidRDefault="008E6ADB" w:rsidP="00C568D4">
            <w:pPr>
              <w:jc w:val="center"/>
              <w:rPr>
                <w:b/>
              </w:rPr>
            </w:pPr>
            <w:r>
              <w:rPr>
                <w:b/>
              </w:rPr>
              <w:t>Emission Controls</w:t>
            </w:r>
          </w:p>
        </w:tc>
      </w:tr>
      <w:tr w:rsidR="00C568D4" w:rsidRPr="00C568D4" w:rsidTr="00926A20">
        <w:tc>
          <w:tcPr>
            <w:tcW w:w="10383" w:type="dxa"/>
            <w:gridSpan w:val="3"/>
            <w:tcBorders>
              <w:top w:val="single" w:sz="12" w:space="0" w:color="auto"/>
              <w:bottom w:val="single" w:sz="12" w:space="0" w:color="auto"/>
            </w:tcBorders>
          </w:tcPr>
          <w:p w:rsidR="00C568D4" w:rsidRPr="00C568D4" w:rsidRDefault="00C568D4" w:rsidP="00C568D4">
            <w:pPr>
              <w:jc w:val="center"/>
              <w:rPr>
                <w:i/>
              </w:rPr>
            </w:pPr>
            <w:r w:rsidRPr="00C568D4">
              <w:rPr>
                <w:i/>
              </w:rPr>
              <w:t>Barge Unloading Operations</w:t>
            </w:r>
          </w:p>
        </w:tc>
      </w:tr>
      <w:tr w:rsidR="00C568D4" w:rsidRPr="00C568D4" w:rsidTr="008E6ADB">
        <w:trPr>
          <w:trHeight w:val="303"/>
        </w:trPr>
        <w:tc>
          <w:tcPr>
            <w:tcW w:w="2103" w:type="dxa"/>
            <w:tcBorders>
              <w:top w:val="single" w:sz="12" w:space="0" w:color="auto"/>
              <w:bottom w:val="single" w:sz="8" w:space="0" w:color="auto"/>
              <w:right w:val="single" w:sz="12" w:space="0" w:color="auto"/>
            </w:tcBorders>
          </w:tcPr>
          <w:p w:rsidR="00C568D4" w:rsidRPr="00C568D4" w:rsidRDefault="00C568D4" w:rsidP="00C568D4">
            <w:pPr>
              <w:jc w:val="center"/>
            </w:pPr>
            <w:r w:rsidRPr="00C568D4">
              <w:t>FH</w:t>
            </w:r>
            <w:r w:rsidRPr="00C568D4">
              <w:rPr>
                <w:rFonts w:ascii="Cambria Math" w:hAnsi="Cambria Math" w:cs="Cambria Math"/>
              </w:rPr>
              <w:t>‐</w:t>
            </w:r>
            <w:r w:rsidRPr="00C568D4">
              <w:t>001</w:t>
            </w:r>
          </w:p>
        </w:tc>
        <w:tc>
          <w:tcPr>
            <w:tcW w:w="5637" w:type="dxa"/>
            <w:tcBorders>
              <w:top w:val="single" w:sz="12" w:space="0" w:color="auto"/>
              <w:left w:val="single" w:sz="12" w:space="0" w:color="auto"/>
              <w:bottom w:val="single" w:sz="8" w:space="0" w:color="auto"/>
              <w:right w:val="single" w:sz="12" w:space="0" w:color="auto"/>
            </w:tcBorders>
          </w:tcPr>
          <w:p w:rsidR="00C568D4" w:rsidRPr="00C568D4" w:rsidRDefault="00C568D4" w:rsidP="00C568D4">
            <w:r w:rsidRPr="00C568D4">
              <w:t>Barge Clamshell to Conveyor D1</w:t>
            </w:r>
          </w:p>
        </w:tc>
        <w:tc>
          <w:tcPr>
            <w:tcW w:w="2643" w:type="dxa"/>
            <w:tcBorders>
              <w:top w:val="single" w:sz="12" w:space="0" w:color="auto"/>
              <w:left w:val="single" w:sz="12" w:space="0" w:color="auto"/>
            </w:tcBorders>
            <w:vAlign w:val="center"/>
          </w:tcPr>
          <w:p w:rsidR="00C568D4" w:rsidRPr="00C568D4" w:rsidRDefault="008E6ADB" w:rsidP="00C568D4">
            <w:pPr>
              <w:jc w:val="center"/>
            </w:pPr>
            <w:r>
              <w:t>Best Management Practices</w:t>
            </w:r>
          </w:p>
        </w:tc>
      </w:tr>
      <w:tr w:rsidR="00C568D4" w:rsidRPr="00C568D4" w:rsidTr="00926A20">
        <w:tc>
          <w:tcPr>
            <w:tcW w:w="10383" w:type="dxa"/>
            <w:gridSpan w:val="3"/>
            <w:tcBorders>
              <w:top w:val="single" w:sz="12" w:space="0" w:color="auto"/>
              <w:bottom w:val="single" w:sz="12" w:space="0" w:color="auto"/>
            </w:tcBorders>
          </w:tcPr>
          <w:p w:rsidR="00C568D4" w:rsidRPr="00C568D4" w:rsidRDefault="00C568D4" w:rsidP="00C568D4">
            <w:pPr>
              <w:jc w:val="center"/>
              <w:rPr>
                <w:i/>
              </w:rPr>
            </w:pPr>
            <w:r w:rsidRPr="00C568D4">
              <w:rPr>
                <w:i/>
              </w:rPr>
              <w:t>Coal Conveying Operations</w:t>
            </w:r>
          </w:p>
        </w:tc>
      </w:tr>
      <w:tr w:rsidR="00C568D4" w:rsidRPr="00C568D4" w:rsidTr="00166364">
        <w:tc>
          <w:tcPr>
            <w:tcW w:w="2103" w:type="dxa"/>
            <w:tcBorders>
              <w:top w:val="single" w:sz="12" w:space="0" w:color="auto"/>
              <w:bottom w:val="single" w:sz="8" w:space="0" w:color="auto"/>
              <w:right w:val="single" w:sz="12" w:space="0" w:color="auto"/>
            </w:tcBorders>
            <w:vAlign w:val="center"/>
          </w:tcPr>
          <w:p w:rsidR="00C568D4" w:rsidRPr="00166364" w:rsidRDefault="00C568D4" w:rsidP="00166364">
            <w:pPr>
              <w:jc w:val="center"/>
            </w:pPr>
            <w:r w:rsidRPr="00C568D4">
              <w:t>FH</w:t>
            </w:r>
            <w:r w:rsidRPr="00C568D4">
              <w:rPr>
                <w:rFonts w:ascii="Cambria Math" w:hAnsi="Cambria Math" w:cs="Cambria Math"/>
              </w:rPr>
              <w:t>‐</w:t>
            </w:r>
            <w:r w:rsidRPr="00C568D4">
              <w:t>006</w:t>
            </w:r>
          </w:p>
        </w:tc>
        <w:tc>
          <w:tcPr>
            <w:tcW w:w="5637" w:type="dxa"/>
            <w:tcBorders>
              <w:top w:val="single" w:sz="12" w:space="0" w:color="auto"/>
              <w:left w:val="single" w:sz="12" w:space="0" w:color="auto"/>
              <w:bottom w:val="single" w:sz="8" w:space="0" w:color="auto"/>
              <w:right w:val="single" w:sz="12" w:space="0" w:color="auto"/>
            </w:tcBorders>
            <w:vAlign w:val="center"/>
          </w:tcPr>
          <w:p w:rsidR="00C568D4" w:rsidRPr="00C568D4" w:rsidRDefault="00C568D4" w:rsidP="00166364">
            <w:r w:rsidRPr="00C568D4">
              <w:t>Conveyor D1 to Conveyor E1</w:t>
            </w:r>
          </w:p>
        </w:tc>
        <w:tc>
          <w:tcPr>
            <w:tcW w:w="2643" w:type="dxa"/>
            <w:tcBorders>
              <w:top w:val="single" w:sz="12" w:space="0" w:color="auto"/>
              <w:left w:val="single" w:sz="12" w:space="0" w:color="auto"/>
              <w:bottom w:val="single" w:sz="8" w:space="0" w:color="auto"/>
            </w:tcBorders>
            <w:vAlign w:val="center"/>
          </w:tcPr>
          <w:p w:rsidR="00C568D4" w:rsidRPr="00C568D4" w:rsidRDefault="008E6ADB" w:rsidP="0086306E">
            <w:pPr>
              <w:jc w:val="center"/>
            </w:pPr>
            <w:r>
              <w:t>Conveyor D1 (</w:t>
            </w:r>
            <w:r w:rsidR="0086306E">
              <w:t>open</w:t>
            </w:r>
            <w:r>
              <w:t xml:space="preserve">) </w:t>
            </w:r>
            <w:r w:rsidR="009F322E">
              <w:t xml:space="preserve">Conveyor </w:t>
            </w:r>
            <w:r>
              <w:t>E1 (covered)</w:t>
            </w:r>
            <w:r>
              <w:br/>
              <w:t>Transfer Point (Enclosed)</w:t>
            </w:r>
          </w:p>
        </w:tc>
      </w:tr>
      <w:tr w:rsidR="00C568D4" w:rsidRPr="00C568D4" w:rsidTr="00166364">
        <w:tc>
          <w:tcPr>
            <w:tcW w:w="2103" w:type="dxa"/>
            <w:tcBorders>
              <w:top w:val="single" w:sz="8" w:space="0" w:color="auto"/>
              <w:bottom w:val="single" w:sz="8" w:space="0" w:color="auto"/>
              <w:right w:val="single" w:sz="12" w:space="0" w:color="auto"/>
            </w:tcBorders>
            <w:vAlign w:val="center"/>
          </w:tcPr>
          <w:p w:rsidR="00C568D4" w:rsidRPr="00C568D4" w:rsidRDefault="00C568D4" w:rsidP="00166364">
            <w:pPr>
              <w:jc w:val="center"/>
            </w:pPr>
            <w:r w:rsidRPr="00C568D4">
              <w:t>FH</w:t>
            </w:r>
            <w:r w:rsidRPr="00C568D4">
              <w:rPr>
                <w:rFonts w:ascii="Cambria Math" w:hAnsi="Cambria Math" w:cs="Cambria Math"/>
              </w:rPr>
              <w:t>‐</w:t>
            </w:r>
            <w:r w:rsidRPr="00C568D4">
              <w:t>007</w:t>
            </w:r>
          </w:p>
        </w:tc>
        <w:tc>
          <w:tcPr>
            <w:tcW w:w="5637" w:type="dxa"/>
            <w:tcBorders>
              <w:top w:val="single" w:sz="8" w:space="0" w:color="auto"/>
              <w:left w:val="single" w:sz="12" w:space="0" w:color="auto"/>
              <w:bottom w:val="single" w:sz="8" w:space="0" w:color="auto"/>
              <w:right w:val="single" w:sz="12" w:space="0" w:color="auto"/>
            </w:tcBorders>
            <w:vAlign w:val="center"/>
          </w:tcPr>
          <w:p w:rsidR="00C568D4" w:rsidRPr="00C568D4" w:rsidRDefault="00C568D4" w:rsidP="00166364">
            <w:r w:rsidRPr="00C568D4">
              <w:t>Conveyor E1 to Conveyor Y or Conveyor F1</w:t>
            </w:r>
          </w:p>
        </w:tc>
        <w:tc>
          <w:tcPr>
            <w:tcW w:w="2643" w:type="dxa"/>
            <w:tcBorders>
              <w:top w:val="single" w:sz="8" w:space="0" w:color="auto"/>
              <w:left w:val="single" w:sz="12" w:space="0" w:color="auto"/>
              <w:bottom w:val="single" w:sz="8" w:space="0" w:color="auto"/>
            </w:tcBorders>
            <w:vAlign w:val="center"/>
          </w:tcPr>
          <w:p w:rsidR="00C568D4" w:rsidRPr="00C568D4" w:rsidRDefault="008E6ADB" w:rsidP="0086306E">
            <w:pPr>
              <w:jc w:val="center"/>
            </w:pPr>
            <w:r>
              <w:t xml:space="preserve">Conveyor </w:t>
            </w:r>
            <w:r w:rsidR="009F322E">
              <w:t>F</w:t>
            </w:r>
            <w:r>
              <w:t>1 (</w:t>
            </w:r>
            <w:r w:rsidR="0086306E">
              <w:t>open</w:t>
            </w:r>
            <w:r>
              <w:t xml:space="preserve">) </w:t>
            </w:r>
            <w:r w:rsidR="009F322E">
              <w:t xml:space="preserve">Conveyor </w:t>
            </w:r>
            <w:r>
              <w:t>E1 (covered)</w:t>
            </w:r>
            <w:r>
              <w:br/>
              <w:t>Transfer Point (Enclosed)</w:t>
            </w:r>
          </w:p>
        </w:tc>
      </w:tr>
      <w:tr w:rsidR="00C568D4" w:rsidRPr="00C568D4" w:rsidTr="008E6ADB">
        <w:tc>
          <w:tcPr>
            <w:tcW w:w="2103" w:type="dxa"/>
            <w:tcBorders>
              <w:top w:val="single" w:sz="8" w:space="0" w:color="auto"/>
              <w:bottom w:val="single" w:sz="8" w:space="0" w:color="auto"/>
              <w:right w:val="single" w:sz="12" w:space="0" w:color="auto"/>
            </w:tcBorders>
          </w:tcPr>
          <w:p w:rsidR="00C568D4" w:rsidRPr="00C568D4" w:rsidRDefault="00C568D4" w:rsidP="00C568D4">
            <w:pPr>
              <w:jc w:val="center"/>
            </w:pPr>
            <w:r w:rsidRPr="00C568D4">
              <w:t>FH</w:t>
            </w:r>
            <w:r w:rsidRPr="00C568D4">
              <w:rPr>
                <w:rFonts w:ascii="Cambria Math" w:hAnsi="Cambria Math" w:cs="Cambria Math"/>
              </w:rPr>
              <w:t>‐</w:t>
            </w:r>
            <w:r w:rsidRPr="00C568D4">
              <w:t>022</w:t>
            </w:r>
          </w:p>
        </w:tc>
        <w:tc>
          <w:tcPr>
            <w:tcW w:w="5637" w:type="dxa"/>
            <w:tcBorders>
              <w:top w:val="single" w:sz="8" w:space="0" w:color="auto"/>
              <w:left w:val="single" w:sz="12" w:space="0" w:color="auto"/>
              <w:bottom w:val="single" w:sz="8" w:space="0" w:color="auto"/>
              <w:right w:val="single" w:sz="12" w:space="0" w:color="auto"/>
            </w:tcBorders>
          </w:tcPr>
          <w:p w:rsidR="00C568D4" w:rsidRPr="00C568D4" w:rsidRDefault="00C568D4" w:rsidP="00C568D4">
            <w:r w:rsidRPr="00C568D4">
              <w:t>Conveyor F1 to South Stacker Conveyor (G1)</w:t>
            </w:r>
          </w:p>
        </w:tc>
        <w:tc>
          <w:tcPr>
            <w:tcW w:w="2643" w:type="dxa"/>
            <w:tcBorders>
              <w:top w:val="single" w:sz="8" w:space="0" w:color="auto"/>
              <w:left w:val="single" w:sz="12" w:space="0" w:color="auto"/>
              <w:bottom w:val="single" w:sz="8" w:space="0" w:color="auto"/>
            </w:tcBorders>
            <w:vAlign w:val="center"/>
          </w:tcPr>
          <w:p w:rsidR="00C568D4" w:rsidRPr="00C568D4" w:rsidRDefault="009F322E" w:rsidP="00C568D4">
            <w:pPr>
              <w:jc w:val="center"/>
            </w:pPr>
            <w:r>
              <w:t>Transfer Point (Enclosed)</w:t>
            </w:r>
          </w:p>
        </w:tc>
      </w:tr>
      <w:tr w:rsidR="00C568D4" w:rsidRPr="00C568D4" w:rsidTr="008E6ADB">
        <w:tc>
          <w:tcPr>
            <w:tcW w:w="2103" w:type="dxa"/>
            <w:tcBorders>
              <w:top w:val="single" w:sz="8" w:space="0" w:color="auto"/>
              <w:bottom w:val="single" w:sz="8" w:space="0" w:color="auto"/>
              <w:right w:val="single" w:sz="12" w:space="0" w:color="auto"/>
            </w:tcBorders>
          </w:tcPr>
          <w:p w:rsidR="00C568D4" w:rsidRPr="00C568D4" w:rsidRDefault="00C568D4" w:rsidP="00C568D4">
            <w:pPr>
              <w:jc w:val="center"/>
            </w:pPr>
            <w:r w:rsidRPr="00C568D4">
              <w:lastRenderedPageBreak/>
              <w:t>FH</w:t>
            </w:r>
            <w:r w:rsidRPr="00C568D4">
              <w:rPr>
                <w:rFonts w:ascii="Cambria Math" w:hAnsi="Cambria Math" w:cs="Cambria Math"/>
              </w:rPr>
              <w:t>‐</w:t>
            </w:r>
            <w:r w:rsidRPr="00C568D4">
              <w:t>023</w:t>
            </w:r>
          </w:p>
        </w:tc>
        <w:tc>
          <w:tcPr>
            <w:tcW w:w="5637" w:type="dxa"/>
            <w:tcBorders>
              <w:top w:val="single" w:sz="8" w:space="0" w:color="auto"/>
              <w:left w:val="single" w:sz="12" w:space="0" w:color="auto"/>
              <w:bottom w:val="single" w:sz="8" w:space="0" w:color="auto"/>
              <w:right w:val="single" w:sz="12" w:space="0" w:color="auto"/>
            </w:tcBorders>
          </w:tcPr>
          <w:p w:rsidR="00C568D4" w:rsidRPr="00C568D4" w:rsidRDefault="00C568D4" w:rsidP="00C568D4">
            <w:r w:rsidRPr="00C568D4">
              <w:t>South Stacker Conveyor (G1) to South/Center Storage Pile</w:t>
            </w:r>
          </w:p>
        </w:tc>
        <w:tc>
          <w:tcPr>
            <w:tcW w:w="2643" w:type="dxa"/>
            <w:tcBorders>
              <w:top w:val="single" w:sz="8" w:space="0" w:color="auto"/>
              <w:left w:val="single" w:sz="12" w:space="0" w:color="auto"/>
              <w:bottom w:val="single" w:sz="8" w:space="0" w:color="auto"/>
            </w:tcBorders>
            <w:vAlign w:val="center"/>
          </w:tcPr>
          <w:p w:rsidR="00C568D4" w:rsidRPr="00C568D4" w:rsidRDefault="0086306E" w:rsidP="00C568D4">
            <w:pPr>
              <w:jc w:val="center"/>
            </w:pPr>
            <w:r>
              <w:t>Best Management Practices</w:t>
            </w:r>
          </w:p>
        </w:tc>
      </w:tr>
      <w:tr w:rsidR="00C568D4" w:rsidRPr="00C568D4" w:rsidTr="00926A20">
        <w:tc>
          <w:tcPr>
            <w:tcW w:w="10383" w:type="dxa"/>
            <w:gridSpan w:val="3"/>
            <w:tcBorders>
              <w:top w:val="single" w:sz="12" w:space="0" w:color="auto"/>
              <w:bottom w:val="single" w:sz="12" w:space="0" w:color="auto"/>
            </w:tcBorders>
          </w:tcPr>
          <w:p w:rsidR="00C568D4" w:rsidRPr="00C568D4" w:rsidRDefault="00C568D4" w:rsidP="00C568D4">
            <w:pPr>
              <w:jc w:val="center"/>
              <w:rPr>
                <w:i/>
              </w:rPr>
            </w:pPr>
            <w:r w:rsidRPr="00C568D4">
              <w:rPr>
                <w:i/>
              </w:rPr>
              <w:t>Coal Equipment &amp; Storage</w:t>
            </w:r>
          </w:p>
        </w:tc>
      </w:tr>
      <w:tr w:rsidR="009F322E" w:rsidRPr="00C568D4" w:rsidTr="00D32CF3">
        <w:tc>
          <w:tcPr>
            <w:tcW w:w="2103" w:type="dxa"/>
            <w:tcBorders>
              <w:top w:val="single" w:sz="8" w:space="0" w:color="auto"/>
              <w:bottom w:val="single" w:sz="8" w:space="0" w:color="auto"/>
              <w:right w:val="single" w:sz="12" w:space="0" w:color="auto"/>
            </w:tcBorders>
          </w:tcPr>
          <w:p w:rsidR="009F322E" w:rsidRPr="00C568D4" w:rsidRDefault="009F322E" w:rsidP="00C568D4">
            <w:pPr>
              <w:jc w:val="center"/>
            </w:pPr>
            <w:r w:rsidRPr="00C568D4">
              <w:t>FH</w:t>
            </w:r>
            <w:r w:rsidRPr="00C568D4">
              <w:rPr>
                <w:rFonts w:ascii="Cambria Math" w:hAnsi="Cambria Math" w:cs="Cambria Math"/>
              </w:rPr>
              <w:t>‐</w:t>
            </w:r>
            <w:r w:rsidRPr="00C568D4">
              <w:t>027</w:t>
            </w:r>
          </w:p>
        </w:tc>
        <w:tc>
          <w:tcPr>
            <w:tcW w:w="5637" w:type="dxa"/>
            <w:tcBorders>
              <w:top w:val="single" w:sz="8" w:space="0" w:color="auto"/>
              <w:left w:val="single" w:sz="12" w:space="0" w:color="auto"/>
              <w:bottom w:val="single" w:sz="8" w:space="0" w:color="auto"/>
              <w:right w:val="single" w:sz="12" w:space="0" w:color="auto"/>
            </w:tcBorders>
          </w:tcPr>
          <w:p w:rsidR="009F322E" w:rsidRPr="00C568D4" w:rsidRDefault="009F322E" w:rsidP="00C568D4">
            <w:r w:rsidRPr="00C568D4">
              <w:t>South Storage Pile</w:t>
            </w:r>
          </w:p>
        </w:tc>
        <w:tc>
          <w:tcPr>
            <w:tcW w:w="2643" w:type="dxa"/>
            <w:vMerge w:val="restart"/>
            <w:tcBorders>
              <w:left w:val="single" w:sz="12" w:space="0" w:color="auto"/>
            </w:tcBorders>
            <w:vAlign w:val="center"/>
          </w:tcPr>
          <w:p w:rsidR="009F322E" w:rsidRPr="00C568D4" w:rsidRDefault="009F322E" w:rsidP="00C568D4">
            <w:pPr>
              <w:jc w:val="center"/>
            </w:pPr>
            <w:r>
              <w:t>Best Management Practices</w:t>
            </w:r>
          </w:p>
        </w:tc>
      </w:tr>
      <w:tr w:rsidR="009F322E" w:rsidRPr="00C568D4" w:rsidTr="00D32CF3">
        <w:tc>
          <w:tcPr>
            <w:tcW w:w="2103" w:type="dxa"/>
            <w:tcBorders>
              <w:top w:val="single" w:sz="8" w:space="0" w:color="auto"/>
              <w:bottom w:val="single" w:sz="8" w:space="0" w:color="auto"/>
              <w:right w:val="single" w:sz="12" w:space="0" w:color="auto"/>
            </w:tcBorders>
          </w:tcPr>
          <w:p w:rsidR="009F322E" w:rsidRPr="00C568D4" w:rsidRDefault="009F322E" w:rsidP="00C568D4">
            <w:pPr>
              <w:jc w:val="center"/>
            </w:pPr>
            <w:r w:rsidRPr="00C568D4">
              <w:t>FH</w:t>
            </w:r>
            <w:r w:rsidRPr="00C568D4">
              <w:rPr>
                <w:rFonts w:ascii="Cambria Math" w:hAnsi="Cambria Math" w:cs="Cambria Math"/>
              </w:rPr>
              <w:t>‐</w:t>
            </w:r>
            <w:r w:rsidRPr="00C568D4">
              <w:t>064</w:t>
            </w:r>
          </w:p>
        </w:tc>
        <w:tc>
          <w:tcPr>
            <w:tcW w:w="5637" w:type="dxa"/>
            <w:tcBorders>
              <w:top w:val="single" w:sz="8" w:space="0" w:color="auto"/>
              <w:left w:val="single" w:sz="12" w:space="0" w:color="auto"/>
              <w:bottom w:val="single" w:sz="8" w:space="0" w:color="auto"/>
              <w:right w:val="single" w:sz="12" w:space="0" w:color="auto"/>
            </w:tcBorders>
          </w:tcPr>
          <w:p w:rsidR="009F322E" w:rsidRPr="00C568D4" w:rsidRDefault="009F322E" w:rsidP="00C568D4">
            <w:r w:rsidRPr="00C568D4">
              <w:t>Dozer Reclaim from Storage Pile to Loadout or Portable Conveyor</w:t>
            </w:r>
          </w:p>
        </w:tc>
        <w:tc>
          <w:tcPr>
            <w:tcW w:w="2643" w:type="dxa"/>
            <w:vMerge/>
            <w:tcBorders>
              <w:left w:val="single" w:sz="12" w:space="0" w:color="auto"/>
            </w:tcBorders>
            <w:vAlign w:val="center"/>
          </w:tcPr>
          <w:p w:rsidR="009F322E" w:rsidRPr="00C568D4" w:rsidRDefault="009F322E" w:rsidP="00C568D4">
            <w:pPr>
              <w:jc w:val="center"/>
              <w:rPr>
                <w:sz w:val="22"/>
                <w:szCs w:val="22"/>
              </w:rPr>
            </w:pPr>
          </w:p>
        </w:tc>
      </w:tr>
      <w:tr w:rsidR="009F322E" w:rsidRPr="00C568D4" w:rsidTr="00D32CF3">
        <w:tc>
          <w:tcPr>
            <w:tcW w:w="2103" w:type="dxa"/>
            <w:tcBorders>
              <w:top w:val="single" w:sz="8" w:space="0" w:color="auto"/>
              <w:bottom w:val="single" w:sz="8" w:space="0" w:color="auto"/>
              <w:right w:val="single" w:sz="12" w:space="0" w:color="auto"/>
            </w:tcBorders>
          </w:tcPr>
          <w:p w:rsidR="009F322E" w:rsidRPr="00C568D4" w:rsidRDefault="009F322E" w:rsidP="00C568D4">
            <w:pPr>
              <w:jc w:val="center"/>
            </w:pPr>
            <w:r w:rsidRPr="00C568D4">
              <w:t>FH</w:t>
            </w:r>
            <w:r w:rsidRPr="00C568D4">
              <w:rPr>
                <w:rFonts w:ascii="Cambria Math" w:hAnsi="Cambria Math" w:cs="Cambria Math"/>
              </w:rPr>
              <w:t>‐</w:t>
            </w:r>
            <w:r w:rsidRPr="00C568D4">
              <w:t>072</w:t>
            </w:r>
          </w:p>
        </w:tc>
        <w:tc>
          <w:tcPr>
            <w:tcW w:w="5637" w:type="dxa"/>
            <w:tcBorders>
              <w:top w:val="single" w:sz="8" w:space="0" w:color="auto"/>
              <w:left w:val="single" w:sz="12" w:space="0" w:color="auto"/>
              <w:bottom w:val="single" w:sz="8" w:space="0" w:color="auto"/>
              <w:right w:val="single" w:sz="12" w:space="0" w:color="auto"/>
            </w:tcBorders>
          </w:tcPr>
          <w:p w:rsidR="009F322E" w:rsidRPr="00C568D4" w:rsidRDefault="009F322E" w:rsidP="00C568D4">
            <w:r w:rsidRPr="00C568D4">
              <w:t>Trucks, Full</w:t>
            </w:r>
          </w:p>
        </w:tc>
        <w:tc>
          <w:tcPr>
            <w:tcW w:w="2643" w:type="dxa"/>
            <w:vMerge/>
            <w:tcBorders>
              <w:left w:val="single" w:sz="12" w:space="0" w:color="auto"/>
            </w:tcBorders>
            <w:vAlign w:val="center"/>
          </w:tcPr>
          <w:p w:rsidR="009F322E" w:rsidRPr="00C568D4" w:rsidRDefault="009F322E" w:rsidP="00C568D4">
            <w:pPr>
              <w:jc w:val="center"/>
              <w:rPr>
                <w:sz w:val="22"/>
                <w:szCs w:val="22"/>
              </w:rPr>
            </w:pPr>
          </w:p>
        </w:tc>
      </w:tr>
      <w:tr w:rsidR="009F322E" w:rsidRPr="00C568D4" w:rsidTr="00D32CF3">
        <w:tc>
          <w:tcPr>
            <w:tcW w:w="2103" w:type="dxa"/>
            <w:tcBorders>
              <w:top w:val="single" w:sz="8" w:space="0" w:color="auto"/>
              <w:bottom w:val="single" w:sz="12" w:space="0" w:color="auto"/>
              <w:right w:val="single" w:sz="12" w:space="0" w:color="auto"/>
            </w:tcBorders>
          </w:tcPr>
          <w:p w:rsidR="009F322E" w:rsidRPr="00C568D4" w:rsidRDefault="009F322E" w:rsidP="00C568D4">
            <w:pPr>
              <w:jc w:val="center"/>
            </w:pPr>
            <w:r w:rsidRPr="00C568D4">
              <w:t>FH</w:t>
            </w:r>
            <w:r w:rsidRPr="00C568D4">
              <w:rPr>
                <w:rFonts w:ascii="Cambria Math" w:hAnsi="Cambria Math" w:cs="Cambria Math"/>
              </w:rPr>
              <w:t>‐</w:t>
            </w:r>
            <w:r w:rsidRPr="00C568D4">
              <w:t>073</w:t>
            </w:r>
          </w:p>
        </w:tc>
        <w:tc>
          <w:tcPr>
            <w:tcW w:w="5637" w:type="dxa"/>
            <w:tcBorders>
              <w:top w:val="single" w:sz="8" w:space="0" w:color="auto"/>
              <w:left w:val="single" w:sz="12" w:space="0" w:color="auto"/>
              <w:bottom w:val="single" w:sz="12" w:space="0" w:color="auto"/>
              <w:right w:val="single" w:sz="12" w:space="0" w:color="auto"/>
            </w:tcBorders>
          </w:tcPr>
          <w:p w:rsidR="009F322E" w:rsidRPr="00C568D4" w:rsidRDefault="009F322E" w:rsidP="00C568D4">
            <w:r w:rsidRPr="00C568D4">
              <w:t>Trucks, Empty</w:t>
            </w:r>
          </w:p>
        </w:tc>
        <w:tc>
          <w:tcPr>
            <w:tcW w:w="2643" w:type="dxa"/>
            <w:vMerge/>
            <w:tcBorders>
              <w:left w:val="single" w:sz="12" w:space="0" w:color="auto"/>
              <w:bottom w:val="single" w:sz="12" w:space="0" w:color="auto"/>
            </w:tcBorders>
            <w:vAlign w:val="center"/>
          </w:tcPr>
          <w:p w:rsidR="009F322E" w:rsidRPr="00C568D4" w:rsidRDefault="009F322E" w:rsidP="00C568D4">
            <w:pPr>
              <w:jc w:val="center"/>
              <w:rPr>
                <w:sz w:val="22"/>
                <w:szCs w:val="22"/>
              </w:rPr>
            </w:pPr>
          </w:p>
        </w:tc>
      </w:tr>
    </w:tbl>
    <w:p w:rsidR="00C568D4" w:rsidRPr="009A5405" w:rsidRDefault="00C568D4" w:rsidP="009A5405">
      <w:pPr>
        <w:pStyle w:val="ListParagraph"/>
        <w:numPr>
          <w:ilvl w:val="1"/>
          <w:numId w:val="8"/>
        </w:numPr>
        <w:spacing w:before="120" w:after="120"/>
        <w:ind w:left="720" w:hanging="720"/>
        <w:contextualSpacing w:val="0"/>
        <w:rPr>
          <w:b/>
          <w:sz w:val="22"/>
          <w:szCs w:val="22"/>
        </w:rPr>
      </w:pPr>
      <w:r w:rsidRPr="009A5405">
        <w:rPr>
          <w:b/>
          <w:sz w:val="22"/>
          <w:szCs w:val="22"/>
        </w:rPr>
        <w:t>Railcar Material Handling</w:t>
      </w:r>
      <w:r w:rsidR="0032753D" w:rsidRPr="009A5405">
        <w:rPr>
          <w:b/>
          <w:sz w:val="22"/>
          <w:szCs w:val="22"/>
        </w:rPr>
        <w:t xml:space="preserve"> Operations</w:t>
      </w:r>
    </w:p>
    <w:p w:rsidR="00401715" w:rsidRDefault="00C568D4" w:rsidP="00C568D4">
      <w:pPr>
        <w:autoSpaceDE w:val="0"/>
        <w:autoSpaceDN w:val="0"/>
        <w:adjustRightInd w:val="0"/>
        <w:spacing w:after="120"/>
        <w:rPr>
          <w:sz w:val="22"/>
          <w:szCs w:val="22"/>
        </w:rPr>
      </w:pPr>
      <w:r w:rsidRPr="00C568D4">
        <w:rPr>
          <w:sz w:val="22"/>
          <w:szCs w:val="22"/>
        </w:rPr>
        <w:t>TEC also proposes to utilize the existing solids fuel yard and the railcar unloading and conveying</w:t>
      </w:r>
      <w:r>
        <w:rPr>
          <w:sz w:val="22"/>
          <w:szCs w:val="22"/>
        </w:rPr>
        <w:t xml:space="preserve"> </w:t>
      </w:r>
      <w:r w:rsidRPr="00C568D4">
        <w:rPr>
          <w:sz w:val="22"/>
          <w:szCs w:val="22"/>
        </w:rPr>
        <w:t xml:space="preserve">system to unload limestone </w:t>
      </w:r>
      <w:r w:rsidR="006E1EE7">
        <w:rPr>
          <w:sz w:val="22"/>
          <w:szCs w:val="22"/>
        </w:rPr>
        <w:t>from the</w:t>
      </w:r>
      <w:r w:rsidRPr="00C568D4">
        <w:rPr>
          <w:sz w:val="22"/>
          <w:szCs w:val="22"/>
        </w:rPr>
        <w:t xml:space="preserve"> rail</w:t>
      </w:r>
      <w:r w:rsidR="006E1EE7">
        <w:rPr>
          <w:sz w:val="22"/>
          <w:szCs w:val="22"/>
        </w:rPr>
        <w:t>cars</w:t>
      </w:r>
      <w:r w:rsidRPr="00C568D4">
        <w:rPr>
          <w:sz w:val="22"/>
          <w:szCs w:val="22"/>
        </w:rPr>
        <w:t xml:space="preserve">. </w:t>
      </w:r>
      <w:r>
        <w:rPr>
          <w:sz w:val="22"/>
          <w:szCs w:val="22"/>
        </w:rPr>
        <w:t xml:space="preserve"> </w:t>
      </w:r>
      <w:r w:rsidRPr="00C568D4">
        <w:rPr>
          <w:sz w:val="22"/>
          <w:szCs w:val="22"/>
        </w:rPr>
        <w:t>As each railcar passes through the railcar unloading building,</w:t>
      </w:r>
      <w:r>
        <w:rPr>
          <w:sz w:val="22"/>
          <w:szCs w:val="22"/>
        </w:rPr>
        <w:t xml:space="preserve"> </w:t>
      </w:r>
      <w:r w:rsidRPr="00C568D4">
        <w:rPr>
          <w:sz w:val="22"/>
          <w:szCs w:val="22"/>
        </w:rPr>
        <w:t xml:space="preserve">the limestone will be dropped through a stationary safety screen and into collecting hoppers. </w:t>
      </w:r>
      <w:r>
        <w:rPr>
          <w:sz w:val="22"/>
          <w:szCs w:val="22"/>
        </w:rPr>
        <w:t xml:space="preserve"> </w:t>
      </w:r>
      <w:r w:rsidRPr="00C568D4">
        <w:rPr>
          <w:sz w:val="22"/>
          <w:szCs w:val="22"/>
        </w:rPr>
        <w:t>The</w:t>
      </w:r>
      <w:r>
        <w:rPr>
          <w:sz w:val="22"/>
          <w:szCs w:val="22"/>
        </w:rPr>
        <w:t xml:space="preserve"> </w:t>
      </w:r>
      <w:r w:rsidRPr="00C568D4">
        <w:rPr>
          <w:sz w:val="22"/>
          <w:szCs w:val="22"/>
        </w:rPr>
        <w:t>limestone will be discharged from each collecting hopper through a series of slide gates to</w:t>
      </w:r>
      <w:r>
        <w:rPr>
          <w:sz w:val="22"/>
          <w:szCs w:val="22"/>
        </w:rPr>
        <w:t xml:space="preserve"> </w:t>
      </w:r>
      <w:r w:rsidRPr="00C568D4">
        <w:rPr>
          <w:sz w:val="22"/>
          <w:szCs w:val="22"/>
        </w:rPr>
        <w:t xml:space="preserve">control the amount of limestone dropped onto the variable speed belt conveyor. </w:t>
      </w:r>
      <w:r>
        <w:rPr>
          <w:sz w:val="22"/>
          <w:szCs w:val="22"/>
        </w:rPr>
        <w:t xml:space="preserve"> </w:t>
      </w:r>
      <w:r w:rsidRPr="00C568D4">
        <w:rPr>
          <w:sz w:val="22"/>
          <w:szCs w:val="22"/>
        </w:rPr>
        <w:t>A system of</w:t>
      </w:r>
      <w:r>
        <w:rPr>
          <w:sz w:val="22"/>
          <w:szCs w:val="22"/>
        </w:rPr>
        <w:t xml:space="preserve"> </w:t>
      </w:r>
      <w:r w:rsidRPr="00C568D4">
        <w:rPr>
          <w:sz w:val="22"/>
          <w:szCs w:val="22"/>
        </w:rPr>
        <w:t>conveyors C10 to C-16 (RC-1 to RC-8) will be used convey limestone from the railcar unloading</w:t>
      </w:r>
      <w:r>
        <w:rPr>
          <w:sz w:val="22"/>
          <w:szCs w:val="22"/>
        </w:rPr>
        <w:t xml:space="preserve"> </w:t>
      </w:r>
      <w:r w:rsidRPr="00C568D4">
        <w:rPr>
          <w:sz w:val="22"/>
          <w:szCs w:val="22"/>
        </w:rPr>
        <w:t xml:space="preserve">building to </w:t>
      </w:r>
      <w:r w:rsidR="006E1EE7">
        <w:rPr>
          <w:sz w:val="22"/>
          <w:szCs w:val="22"/>
        </w:rPr>
        <w:t>C</w:t>
      </w:r>
      <w:r w:rsidRPr="00C568D4">
        <w:rPr>
          <w:sz w:val="22"/>
          <w:szCs w:val="22"/>
        </w:rPr>
        <w:t xml:space="preserve">onveyor F1 in the solid fuel yard (RC-9). </w:t>
      </w:r>
      <w:r>
        <w:rPr>
          <w:sz w:val="22"/>
          <w:szCs w:val="22"/>
        </w:rPr>
        <w:t xml:space="preserve"> </w:t>
      </w:r>
      <w:r w:rsidRPr="00C568D4">
        <w:rPr>
          <w:sz w:val="22"/>
          <w:szCs w:val="22"/>
        </w:rPr>
        <w:t>Similar to the vessel material handling,</w:t>
      </w:r>
      <w:r>
        <w:rPr>
          <w:sz w:val="22"/>
          <w:szCs w:val="22"/>
        </w:rPr>
        <w:t xml:space="preserve"> </w:t>
      </w:r>
      <w:r w:rsidRPr="00C568D4">
        <w:rPr>
          <w:sz w:val="22"/>
          <w:szCs w:val="22"/>
        </w:rPr>
        <w:t>the existing south stacker/reclaimer system will radially stack the limestone in a designated area</w:t>
      </w:r>
      <w:r>
        <w:rPr>
          <w:sz w:val="22"/>
          <w:szCs w:val="22"/>
        </w:rPr>
        <w:t xml:space="preserve"> </w:t>
      </w:r>
      <w:r w:rsidRPr="00C568D4">
        <w:rPr>
          <w:sz w:val="22"/>
          <w:szCs w:val="22"/>
        </w:rPr>
        <w:t>in the south or north fuel yard</w:t>
      </w:r>
      <w:r w:rsidR="003B1396">
        <w:rPr>
          <w:sz w:val="22"/>
          <w:szCs w:val="22"/>
        </w:rPr>
        <w:t>s</w:t>
      </w:r>
      <w:r w:rsidRPr="00C568D4">
        <w:rPr>
          <w:sz w:val="22"/>
          <w:szCs w:val="22"/>
        </w:rPr>
        <w:t xml:space="preserve">. </w:t>
      </w:r>
      <w:r>
        <w:rPr>
          <w:sz w:val="22"/>
          <w:szCs w:val="22"/>
        </w:rPr>
        <w:t xml:space="preserve"> </w:t>
      </w:r>
      <w:r w:rsidRPr="00C568D4">
        <w:rPr>
          <w:sz w:val="22"/>
          <w:szCs w:val="22"/>
        </w:rPr>
        <w:t>Heavy equipment such as track hoe loader will load each truck</w:t>
      </w:r>
      <w:r w:rsidR="00E720DA">
        <w:rPr>
          <w:sz w:val="22"/>
          <w:szCs w:val="22"/>
        </w:rPr>
        <w:t xml:space="preserve"> to</w:t>
      </w:r>
      <w:r w:rsidRPr="00C568D4">
        <w:rPr>
          <w:sz w:val="22"/>
          <w:szCs w:val="22"/>
        </w:rPr>
        <w:t xml:space="preserve"> haul the limestone to the existing unloading area located on the east side of the</w:t>
      </w:r>
      <w:r>
        <w:rPr>
          <w:sz w:val="22"/>
          <w:szCs w:val="22"/>
        </w:rPr>
        <w:t xml:space="preserve"> </w:t>
      </w:r>
      <w:r w:rsidRPr="00C568D4">
        <w:rPr>
          <w:sz w:val="22"/>
          <w:szCs w:val="22"/>
        </w:rPr>
        <w:t xml:space="preserve">facility (FH-027, FH-072, FH-073, FH-064). </w:t>
      </w:r>
      <w:r>
        <w:rPr>
          <w:sz w:val="22"/>
          <w:szCs w:val="22"/>
        </w:rPr>
        <w:t xml:space="preserve"> </w:t>
      </w:r>
      <w:r w:rsidR="006E1EE7" w:rsidRPr="00E720DA">
        <w:rPr>
          <w:b/>
          <w:bCs/>
          <w:sz w:val="22"/>
          <w:szCs w:val="22"/>
        </w:rPr>
        <w:fldChar w:fldCharType="begin"/>
      </w:r>
      <w:r w:rsidR="006E1EE7" w:rsidRPr="00E720DA">
        <w:rPr>
          <w:b/>
          <w:sz w:val="22"/>
          <w:szCs w:val="22"/>
        </w:rPr>
        <w:instrText xml:space="preserve"> REF _Ref412186281 \h </w:instrText>
      </w:r>
      <w:r w:rsidR="006E1EE7" w:rsidRPr="00E720DA">
        <w:rPr>
          <w:b/>
          <w:bCs/>
          <w:sz w:val="22"/>
          <w:szCs w:val="22"/>
        </w:rPr>
        <w:instrText xml:space="preserve"> \* MERGEFORMAT </w:instrText>
      </w:r>
      <w:r w:rsidR="006E1EE7" w:rsidRPr="00E720DA">
        <w:rPr>
          <w:b/>
          <w:bCs/>
          <w:sz w:val="22"/>
          <w:szCs w:val="22"/>
        </w:rPr>
      </w:r>
      <w:r w:rsidR="006E1EE7" w:rsidRPr="00E720DA">
        <w:rPr>
          <w:b/>
          <w:bCs/>
          <w:sz w:val="22"/>
          <w:szCs w:val="22"/>
        </w:rPr>
        <w:fldChar w:fldCharType="separate"/>
      </w:r>
      <w:r w:rsidR="009A5405" w:rsidRPr="009A5405">
        <w:rPr>
          <w:b/>
          <w:sz w:val="22"/>
          <w:szCs w:val="22"/>
        </w:rPr>
        <w:t xml:space="preserve">Table </w:t>
      </w:r>
      <w:r w:rsidR="009A5405" w:rsidRPr="009A5405">
        <w:rPr>
          <w:b/>
          <w:noProof/>
          <w:sz w:val="22"/>
          <w:szCs w:val="22"/>
        </w:rPr>
        <w:t>3</w:t>
      </w:r>
      <w:r w:rsidR="006E1EE7" w:rsidRPr="00E720DA">
        <w:rPr>
          <w:b/>
          <w:bCs/>
          <w:sz w:val="22"/>
          <w:szCs w:val="22"/>
        </w:rPr>
        <w:fldChar w:fldCharType="end"/>
      </w:r>
      <w:r w:rsidRPr="00C568D4">
        <w:rPr>
          <w:b/>
          <w:bCs/>
          <w:sz w:val="22"/>
          <w:szCs w:val="22"/>
        </w:rPr>
        <w:t xml:space="preserve"> </w:t>
      </w:r>
      <w:r w:rsidRPr="00C568D4">
        <w:rPr>
          <w:sz w:val="22"/>
          <w:szCs w:val="22"/>
        </w:rPr>
        <w:t>shows the existing equipment and transfer</w:t>
      </w:r>
      <w:r>
        <w:rPr>
          <w:sz w:val="22"/>
          <w:szCs w:val="22"/>
        </w:rPr>
        <w:t xml:space="preserve"> </w:t>
      </w:r>
      <w:r w:rsidRPr="00C568D4">
        <w:rPr>
          <w:sz w:val="22"/>
          <w:szCs w:val="22"/>
        </w:rPr>
        <w:t xml:space="preserve">points that will be </w:t>
      </w:r>
      <w:r w:rsidR="00E720DA">
        <w:rPr>
          <w:sz w:val="22"/>
          <w:szCs w:val="22"/>
        </w:rPr>
        <w:t>used</w:t>
      </w:r>
      <w:r w:rsidRPr="00C568D4">
        <w:rPr>
          <w:sz w:val="22"/>
          <w:szCs w:val="22"/>
        </w:rPr>
        <w:t xml:space="preserve"> </w:t>
      </w:r>
      <w:r w:rsidR="006E1EE7">
        <w:rPr>
          <w:sz w:val="22"/>
          <w:szCs w:val="22"/>
        </w:rPr>
        <w:t>to transfer the new limestone from the railcars</w:t>
      </w:r>
      <w:r w:rsidRPr="00C568D4">
        <w:rPr>
          <w:sz w:val="22"/>
          <w:szCs w:val="22"/>
        </w:rPr>
        <w:t>.</w:t>
      </w:r>
      <w:r>
        <w:rPr>
          <w:sz w:val="22"/>
          <w:szCs w:val="22"/>
        </w:rPr>
        <w:t xml:space="preserve"> </w:t>
      </w:r>
      <w:r w:rsidRPr="00C568D4">
        <w:rPr>
          <w:sz w:val="22"/>
          <w:szCs w:val="22"/>
        </w:rPr>
        <w:t xml:space="preserve"> </w:t>
      </w:r>
    </w:p>
    <w:p w:rsidR="006E1EE7" w:rsidRPr="009A5405" w:rsidRDefault="006E1EE7" w:rsidP="003B1396">
      <w:pPr>
        <w:pStyle w:val="Caption"/>
        <w:spacing w:after="120"/>
        <w:jc w:val="center"/>
        <w:rPr>
          <w:caps/>
          <w:sz w:val="22"/>
          <w:szCs w:val="22"/>
        </w:rPr>
      </w:pPr>
      <w:bookmarkStart w:id="4" w:name="_Ref412186281"/>
      <w:r w:rsidRPr="009A5405">
        <w:rPr>
          <w:caps/>
          <w:sz w:val="22"/>
          <w:szCs w:val="22"/>
        </w:rPr>
        <w:t xml:space="preserve">Table </w:t>
      </w:r>
      <w:r w:rsidRPr="009A5405">
        <w:rPr>
          <w:caps/>
          <w:sz w:val="22"/>
          <w:szCs w:val="22"/>
        </w:rPr>
        <w:fldChar w:fldCharType="begin"/>
      </w:r>
      <w:r w:rsidRPr="009A5405">
        <w:rPr>
          <w:caps/>
          <w:sz w:val="22"/>
          <w:szCs w:val="22"/>
        </w:rPr>
        <w:instrText xml:space="preserve"> SEQ Table \* ARABIC </w:instrText>
      </w:r>
      <w:r w:rsidRPr="009A5405">
        <w:rPr>
          <w:caps/>
          <w:sz w:val="22"/>
          <w:szCs w:val="22"/>
        </w:rPr>
        <w:fldChar w:fldCharType="separate"/>
      </w:r>
      <w:r w:rsidR="009A5405" w:rsidRPr="009A5405">
        <w:rPr>
          <w:caps/>
          <w:noProof/>
          <w:sz w:val="22"/>
          <w:szCs w:val="22"/>
        </w:rPr>
        <w:t>3</w:t>
      </w:r>
      <w:r w:rsidRPr="009A5405">
        <w:rPr>
          <w:caps/>
          <w:sz w:val="22"/>
          <w:szCs w:val="22"/>
        </w:rPr>
        <w:fldChar w:fldCharType="end"/>
      </w:r>
      <w:bookmarkEnd w:id="4"/>
      <w:r w:rsidR="009A5405">
        <w:rPr>
          <w:caps/>
          <w:sz w:val="22"/>
          <w:szCs w:val="22"/>
        </w:rPr>
        <w:t xml:space="preserve"> - </w:t>
      </w:r>
      <w:r w:rsidRPr="009A5405">
        <w:rPr>
          <w:caps/>
          <w:sz w:val="22"/>
          <w:szCs w:val="22"/>
        </w:rPr>
        <w:t>Railcar Equipment and Transfer Points</w:t>
      </w:r>
      <w:r w:rsidR="009A5405">
        <w:rPr>
          <w:caps/>
          <w:sz w:val="22"/>
          <w:szCs w:val="22"/>
        </w:rPr>
        <w:t>.</w:t>
      </w:r>
    </w:p>
    <w:tbl>
      <w:tblPr>
        <w:tblW w:w="1038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3"/>
        <w:gridCol w:w="5727"/>
        <w:gridCol w:w="2553"/>
      </w:tblGrid>
      <w:tr w:rsidR="009F322E" w:rsidRPr="009F322E" w:rsidTr="003B1396">
        <w:trPr>
          <w:tblHeader/>
        </w:trPr>
        <w:tc>
          <w:tcPr>
            <w:tcW w:w="10383" w:type="dxa"/>
            <w:gridSpan w:val="3"/>
            <w:tcBorders>
              <w:top w:val="single" w:sz="12" w:space="0" w:color="auto"/>
              <w:bottom w:val="single" w:sz="12" w:space="0" w:color="auto"/>
            </w:tcBorders>
            <w:shd w:val="clear" w:color="auto" w:fill="C6D9F1" w:themeFill="text2" w:themeFillTint="33"/>
            <w:vAlign w:val="center"/>
          </w:tcPr>
          <w:p w:rsidR="009F322E" w:rsidRPr="009F322E" w:rsidRDefault="009F322E" w:rsidP="009F322E">
            <w:pPr>
              <w:spacing w:before="60" w:after="60"/>
              <w:jc w:val="center"/>
              <w:rPr>
                <w:b/>
              </w:rPr>
            </w:pPr>
            <w:r w:rsidRPr="009F322E">
              <w:rPr>
                <w:b/>
              </w:rPr>
              <w:t>Solid Fuel Yard Unloading and Handling Operations (EU 010)</w:t>
            </w:r>
          </w:p>
        </w:tc>
      </w:tr>
      <w:tr w:rsidR="009F322E" w:rsidRPr="009F322E" w:rsidTr="003B1396">
        <w:trPr>
          <w:tblHeader/>
        </w:trPr>
        <w:tc>
          <w:tcPr>
            <w:tcW w:w="2103" w:type="dxa"/>
            <w:tcBorders>
              <w:top w:val="single" w:sz="12" w:space="0" w:color="auto"/>
              <w:bottom w:val="single" w:sz="12" w:space="0" w:color="auto"/>
              <w:right w:val="single" w:sz="12" w:space="0" w:color="auto"/>
            </w:tcBorders>
            <w:shd w:val="clear" w:color="auto" w:fill="C6D9F1" w:themeFill="text2" w:themeFillTint="33"/>
            <w:vAlign w:val="center"/>
          </w:tcPr>
          <w:p w:rsidR="009F322E" w:rsidRPr="009F322E" w:rsidRDefault="009F322E" w:rsidP="009F322E">
            <w:pPr>
              <w:jc w:val="center"/>
              <w:rPr>
                <w:b/>
              </w:rPr>
            </w:pPr>
            <w:r w:rsidRPr="009F322E">
              <w:rPr>
                <w:b/>
              </w:rPr>
              <w:t>Point ID</w:t>
            </w:r>
          </w:p>
        </w:tc>
        <w:tc>
          <w:tcPr>
            <w:tcW w:w="5727" w:type="dxa"/>
            <w:tcBorders>
              <w:top w:val="single" w:sz="12" w:space="0" w:color="auto"/>
              <w:left w:val="single" w:sz="12" w:space="0" w:color="auto"/>
              <w:bottom w:val="single" w:sz="12" w:space="0" w:color="auto"/>
              <w:right w:val="single" w:sz="12" w:space="0" w:color="auto"/>
            </w:tcBorders>
            <w:shd w:val="clear" w:color="auto" w:fill="C6D9F1" w:themeFill="text2" w:themeFillTint="33"/>
            <w:vAlign w:val="center"/>
          </w:tcPr>
          <w:p w:rsidR="009F322E" w:rsidRPr="009F322E" w:rsidRDefault="009F322E" w:rsidP="009F322E">
            <w:pPr>
              <w:jc w:val="center"/>
              <w:rPr>
                <w:b/>
              </w:rPr>
            </w:pPr>
            <w:r w:rsidRPr="009F322E">
              <w:rPr>
                <w:b/>
              </w:rPr>
              <w:t>Brief Description</w:t>
            </w:r>
          </w:p>
        </w:tc>
        <w:tc>
          <w:tcPr>
            <w:tcW w:w="2553" w:type="dxa"/>
            <w:tcBorders>
              <w:top w:val="single" w:sz="12" w:space="0" w:color="auto"/>
              <w:left w:val="single" w:sz="12" w:space="0" w:color="auto"/>
              <w:bottom w:val="single" w:sz="12" w:space="0" w:color="auto"/>
            </w:tcBorders>
            <w:shd w:val="clear" w:color="auto" w:fill="C6D9F1" w:themeFill="text2" w:themeFillTint="33"/>
            <w:vAlign w:val="center"/>
          </w:tcPr>
          <w:p w:rsidR="009F322E" w:rsidRPr="009F322E" w:rsidRDefault="009F322E" w:rsidP="009F322E">
            <w:pPr>
              <w:jc w:val="center"/>
              <w:rPr>
                <w:b/>
              </w:rPr>
            </w:pPr>
            <w:r w:rsidRPr="009F322E">
              <w:rPr>
                <w:b/>
              </w:rPr>
              <w:t>Pollutant</w:t>
            </w:r>
          </w:p>
        </w:tc>
      </w:tr>
      <w:tr w:rsidR="009F322E" w:rsidRPr="009F322E" w:rsidTr="009F322E">
        <w:tc>
          <w:tcPr>
            <w:tcW w:w="10383" w:type="dxa"/>
            <w:gridSpan w:val="3"/>
            <w:tcBorders>
              <w:top w:val="single" w:sz="12" w:space="0" w:color="auto"/>
              <w:bottom w:val="single" w:sz="12" w:space="0" w:color="auto"/>
            </w:tcBorders>
          </w:tcPr>
          <w:p w:rsidR="009F322E" w:rsidRPr="009F322E" w:rsidRDefault="009F322E" w:rsidP="009F322E">
            <w:pPr>
              <w:jc w:val="center"/>
              <w:rPr>
                <w:i/>
              </w:rPr>
            </w:pPr>
            <w:r w:rsidRPr="009F322E">
              <w:rPr>
                <w:i/>
              </w:rPr>
              <w:t>Coal Conveying Operations</w:t>
            </w:r>
          </w:p>
        </w:tc>
      </w:tr>
      <w:tr w:rsidR="009F322E" w:rsidRPr="009F322E" w:rsidTr="0086306E">
        <w:tc>
          <w:tcPr>
            <w:tcW w:w="2103" w:type="dxa"/>
            <w:tcBorders>
              <w:top w:val="single" w:sz="12" w:space="0" w:color="auto"/>
              <w:bottom w:val="single" w:sz="8"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022</w:t>
            </w:r>
          </w:p>
        </w:tc>
        <w:tc>
          <w:tcPr>
            <w:tcW w:w="5727" w:type="dxa"/>
            <w:tcBorders>
              <w:top w:val="single" w:sz="12" w:space="0" w:color="auto"/>
              <w:left w:val="single" w:sz="12" w:space="0" w:color="auto"/>
              <w:bottom w:val="single" w:sz="8" w:space="0" w:color="auto"/>
              <w:right w:val="single" w:sz="12" w:space="0" w:color="auto"/>
            </w:tcBorders>
          </w:tcPr>
          <w:p w:rsidR="009F322E" w:rsidRPr="009F322E" w:rsidRDefault="009F322E" w:rsidP="009F322E">
            <w:r w:rsidRPr="009F322E">
              <w:t>Conveyor F1 to South Stacker Conveyor (G1)</w:t>
            </w:r>
          </w:p>
        </w:tc>
        <w:tc>
          <w:tcPr>
            <w:tcW w:w="2553" w:type="dxa"/>
            <w:tcBorders>
              <w:top w:val="single" w:sz="8" w:space="0" w:color="auto"/>
              <w:left w:val="single" w:sz="12" w:space="0" w:color="auto"/>
              <w:bottom w:val="single" w:sz="8" w:space="0" w:color="auto"/>
            </w:tcBorders>
            <w:vAlign w:val="center"/>
          </w:tcPr>
          <w:p w:rsidR="009F322E" w:rsidRPr="009F322E" w:rsidRDefault="009F322E" w:rsidP="009F322E">
            <w:pPr>
              <w:jc w:val="center"/>
            </w:pPr>
            <w:r>
              <w:t>Transfer Point (Enclosed)</w:t>
            </w:r>
          </w:p>
        </w:tc>
      </w:tr>
      <w:tr w:rsidR="009F322E" w:rsidRPr="009F322E" w:rsidTr="0086306E">
        <w:tc>
          <w:tcPr>
            <w:tcW w:w="2103" w:type="dxa"/>
            <w:tcBorders>
              <w:top w:val="single" w:sz="8" w:space="0" w:color="auto"/>
              <w:bottom w:val="single" w:sz="12"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023</w:t>
            </w:r>
          </w:p>
        </w:tc>
        <w:tc>
          <w:tcPr>
            <w:tcW w:w="5727" w:type="dxa"/>
            <w:tcBorders>
              <w:top w:val="single" w:sz="8" w:space="0" w:color="auto"/>
              <w:left w:val="single" w:sz="12" w:space="0" w:color="auto"/>
              <w:bottom w:val="single" w:sz="12" w:space="0" w:color="auto"/>
              <w:right w:val="single" w:sz="12" w:space="0" w:color="auto"/>
            </w:tcBorders>
          </w:tcPr>
          <w:p w:rsidR="009F322E" w:rsidRPr="009F322E" w:rsidRDefault="009F322E" w:rsidP="009F322E">
            <w:r w:rsidRPr="009F322E">
              <w:t>South Stacker Conveyor (G1) to South/Center Storage Pile</w:t>
            </w:r>
          </w:p>
        </w:tc>
        <w:tc>
          <w:tcPr>
            <w:tcW w:w="2553" w:type="dxa"/>
            <w:tcBorders>
              <w:top w:val="single" w:sz="8" w:space="0" w:color="auto"/>
              <w:left w:val="single" w:sz="12" w:space="0" w:color="auto"/>
              <w:bottom w:val="single" w:sz="8" w:space="0" w:color="auto"/>
            </w:tcBorders>
            <w:vAlign w:val="center"/>
          </w:tcPr>
          <w:p w:rsidR="009F322E" w:rsidRPr="009F322E" w:rsidRDefault="009F322E" w:rsidP="009F322E">
            <w:pPr>
              <w:jc w:val="center"/>
            </w:pPr>
            <w:r>
              <w:t>Best Management Practices</w:t>
            </w:r>
          </w:p>
        </w:tc>
      </w:tr>
      <w:tr w:rsidR="009F322E" w:rsidRPr="009F322E" w:rsidTr="009F322E">
        <w:tc>
          <w:tcPr>
            <w:tcW w:w="10383" w:type="dxa"/>
            <w:gridSpan w:val="3"/>
            <w:tcBorders>
              <w:top w:val="single" w:sz="12" w:space="0" w:color="auto"/>
              <w:bottom w:val="single" w:sz="12" w:space="0" w:color="auto"/>
            </w:tcBorders>
          </w:tcPr>
          <w:p w:rsidR="009F322E" w:rsidRPr="009F322E" w:rsidRDefault="009F322E" w:rsidP="009F322E">
            <w:pPr>
              <w:jc w:val="center"/>
              <w:rPr>
                <w:i/>
              </w:rPr>
            </w:pPr>
            <w:r w:rsidRPr="009F322E">
              <w:rPr>
                <w:i/>
              </w:rPr>
              <w:t>Coal Equipment &amp; Storage</w:t>
            </w:r>
          </w:p>
        </w:tc>
      </w:tr>
      <w:tr w:rsidR="009F322E" w:rsidRPr="009F322E" w:rsidTr="0086306E">
        <w:tc>
          <w:tcPr>
            <w:tcW w:w="2103" w:type="dxa"/>
            <w:tcBorders>
              <w:top w:val="single" w:sz="12" w:space="0" w:color="auto"/>
              <w:bottom w:val="single" w:sz="8"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027</w:t>
            </w:r>
          </w:p>
        </w:tc>
        <w:tc>
          <w:tcPr>
            <w:tcW w:w="5727" w:type="dxa"/>
            <w:tcBorders>
              <w:top w:val="single" w:sz="12" w:space="0" w:color="auto"/>
              <w:left w:val="single" w:sz="12" w:space="0" w:color="auto"/>
              <w:bottom w:val="single" w:sz="8" w:space="0" w:color="auto"/>
              <w:right w:val="single" w:sz="12" w:space="0" w:color="auto"/>
            </w:tcBorders>
          </w:tcPr>
          <w:p w:rsidR="009F322E" w:rsidRPr="009F322E" w:rsidRDefault="009F322E" w:rsidP="009F322E">
            <w:r w:rsidRPr="009F322E">
              <w:t>South Storage Pile</w:t>
            </w:r>
          </w:p>
        </w:tc>
        <w:tc>
          <w:tcPr>
            <w:tcW w:w="2553" w:type="dxa"/>
            <w:vMerge w:val="restart"/>
            <w:tcBorders>
              <w:left w:val="single" w:sz="12" w:space="0" w:color="auto"/>
            </w:tcBorders>
            <w:vAlign w:val="center"/>
          </w:tcPr>
          <w:p w:rsidR="009F322E" w:rsidRPr="009F322E" w:rsidRDefault="009F322E" w:rsidP="009F322E">
            <w:pPr>
              <w:jc w:val="center"/>
            </w:pPr>
            <w:r>
              <w:t>Best Management Practices</w:t>
            </w:r>
          </w:p>
        </w:tc>
      </w:tr>
      <w:tr w:rsidR="009F322E" w:rsidRPr="009F322E" w:rsidTr="009F322E">
        <w:tc>
          <w:tcPr>
            <w:tcW w:w="2103" w:type="dxa"/>
            <w:tcBorders>
              <w:top w:val="single" w:sz="8" w:space="0" w:color="auto"/>
              <w:bottom w:val="single" w:sz="8"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064</w:t>
            </w:r>
          </w:p>
        </w:tc>
        <w:tc>
          <w:tcPr>
            <w:tcW w:w="5727" w:type="dxa"/>
            <w:tcBorders>
              <w:top w:val="single" w:sz="8" w:space="0" w:color="auto"/>
              <w:left w:val="single" w:sz="12" w:space="0" w:color="auto"/>
              <w:bottom w:val="single" w:sz="8" w:space="0" w:color="auto"/>
              <w:right w:val="single" w:sz="12" w:space="0" w:color="auto"/>
            </w:tcBorders>
          </w:tcPr>
          <w:p w:rsidR="009F322E" w:rsidRPr="009F322E" w:rsidRDefault="009F322E" w:rsidP="009F322E">
            <w:r w:rsidRPr="009F322E">
              <w:t>Dozer Reclaim from Storage Pile to Loadout or Portable Conveyor</w:t>
            </w:r>
          </w:p>
        </w:tc>
        <w:tc>
          <w:tcPr>
            <w:tcW w:w="2553" w:type="dxa"/>
            <w:vMerge/>
            <w:tcBorders>
              <w:left w:val="single" w:sz="12" w:space="0" w:color="auto"/>
            </w:tcBorders>
            <w:vAlign w:val="center"/>
          </w:tcPr>
          <w:p w:rsidR="009F322E" w:rsidRPr="009F322E" w:rsidRDefault="009F322E" w:rsidP="009F322E">
            <w:pPr>
              <w:jc w:val="center"/>
              <w:rPr>
                <w:sz w:val="22"/>
                <w:szCs w:val="22"/>
              </w:rPr>
            </w:pPr>
          </w:p>
        </w:tc>
      </w:tr>
      <w:tr w:rsidR="009F322E" w:rsidRPr="009F322E" w:rsidTr="009F322E">
        <w:tc>
          <w:tcPr>
            <w:tcW w:w="2103" w:type="dxa"/>
            <w:tcBorders>
              <w:top w:val="single" w:sz="8" w:space="0" w:color="auto"/>
              <w:bottom w:val="single" w:sz="8"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072</w:t>
            </w:r>
          </w:p>
        </w:tc>
        <w:tc>
          <w:tcPr>
            <w:tcW w:w="5727" w:type="dxa"/>
            <w:tcBorders>
              <w:top w:val="single" w:sz="8" w:space="0" w:color="auto"/>
              <w:left w:val="single" w:sz="12" w:space="0" w:color="auto"/>
              <w:bottom w:val="single" w:sz="8" w:space="0" w:color="auto"/>
              <w:right w:val="single" w:sz="12" w:space="0" w:color="auto"/>
            </w:tcBorders>
          </w:tcPr>
          <w:p w:rsidR="009F322E" w:rsidRPr="009F322E" w:rsidRDefault="009F322E" w:rsidP="009F322E">
            <w:r w:rsidRPr="009F322E">
              <w:t>Trucks, Full</w:t>
            </w:r>
          </w:p>
        </w:tc>
        <w:tc>
          <w:tcPr>
            <w:tcW w:w="2553" w:type="dxa"/>
            <w:vMerge/>
            <w:tcBorders>
              <w:left w:val="single" w:sz="12" w:space="0" w:color="auto"/>
            </w:tcBorders>
            <w:vAlign w:val="center"/>
          </w:tcPr>
          <w:p w:rsidR="009F322E" w:rsidRPr="009F322E" w:rsidRDefault="009F322E" w:rsidP="009F322E">
            <w:pPr>
              <w:jc w:val="center"/>
              <w:rPr>
                <w:sz w:val="22"/>
                <w:szCs w:val="22"/>
              </w:rPr>
            </w:pPr>
          </w:p>
        </w:tc>
      </w:tr>
      <w:tr w:rsidR="009F322E" w:rsidRPr="009F322E" w:rsidTr="009F322E">
        <w:tc>
          <w:tcPr>
            <w:tcW w:w="2103" w:type="dxa"/>
            <w:tcBorders>
              <w:top w:val="single" w:sz="8" w:space="0" w:color="auto"/>
              <w:bottom w:val="single" w:sz="12" w:space="0" w:color="auto"/>
              <w:right w:val="single" w:sz="12" w:space="0" w:color="auto"/>
            </w:tcBorders>
          </w:tcPr>
          <w:p w:rsidR="009F322E" w:rsidRPr="009F322E" w:rsidRDefault="009F322E" w:rsidP="009F322E">
            <w:pPr>
              <w:jc w:val="center"/>
            </w:pPr>
            <w:r w:rsidRPr="009F322E">
              <w:t>FH</w:t>
            </w:r>
            <w:r w:rsidRPr="009F322E">
              <w:rPr>
                <w:rFonts w:ascii="Cambria Math" w:hAnsi="Cambria Math" w:cs="Cambria Math"/>
              </w:rPr>
              <w:t>‐</w:t>
            </w:r>
            <w:r w:rsidRPr="009F322E">
              <w:t>073</w:t>
            </w:r>
          </w:p>
        </w:tc>
        <w:tc>
          <w:tcPr>
            <w:tcW w:w="5727" w:type="dxa"/>
            <w:tcBorders>
              <w:top w:val="single" w:sz="8" w:space="0" w:color="auto"/>
              <w:left w:val="single" w:sz="12" w:space="0" w:color="auto"/>
              <w:bottom w:val="single" w:sz="12" w:space="0" w:color="auto"/>
              <w:right w:val="single" w:sz="12" w:space="0" w:color="auto"/>
            </w:tcBorders>
          </w:tcPr>
          <w:p w:rsidR="009F322E" w:rsidRPr="009F322E" w:rsidRDefault="009F322E" w:rsidP="009F322E">
            <w:r w:rsidRPr="009F322E">
              <w:t>Trucks, Empty</w:t>
            </w:r>
          </w:p>
        </w:tc>
        <w:tc>
          <w:tcPr>
            <w:tcW w:w="2553" w:type="dxa"/>
            <w:vMerge/>
            <w:tcBorders>
              <w:left w:val="single" w:sz="12" w:space="0" w:color="auto"/>
              <w:bottom w:val="single" w:sz="12" w:space="0" w:color="auto"/>
            </w:tcBorders>
            <w:vAlign w:val="center"/>
          </w:tcPr>
          <w:p w:rsidR="009F322E" w:rsidRPr="009F322E" w:rsidRDefault="009F322E" w:rsidP="009F322E">
            <w:pPr>
              <w:jc w:val="center"/>
              <w:rPr>
                <w:sz w:val="22"/>
                <w:szCs w:val="22"/>
              </w:rPr>
            </w:pPr>
          </w:p>
        </w:tc>
      </w:tr>
      <w:tr w:rsidR="009F322E" w:rsidRPr="009F322E" w:rsidTr="003B1396">
        <w:tc>
          <w:tcPr>
            <w:tcW w:w="10383" w:type="dxa"/>
            <w:gridSpan w:val="3"/>
            <w:tcBorders>
              <w:top w:val="single" w:sz="12" w:space="0" w:color="auto"/>
              <w:bottom w:val="single" w:sz="12" w:space="0" w:color="auto"/>
            </w:tcBorders>
            <w:shd w:val="clear" w:color="auto" w:fill="C6D9F1" w:themeFill="text2" w:themeFillTint="33"/>
            <w:vAlign w:val="center"/>
          </w:tcPr>
          <w:p w:rsidR="009F322E" w:rsidRPr="009F322E" w:rsidRDefault="009F322E" w:rsidP="009F322E">
            <w:pPr>
              <w:spacing w:before="60" w:after="60"/>
              <w:jc w:val="center"/>
              <w:rPr>
                <w:b/>
              </w:rPr>
            </w:pPr>
            <w:r>
              <w:rPr>
                <w:b/>
              </w:rPr>
              <w:t>Railcar Unloading and Conveying System</w:t>
            </w:r>
            <w:r w:rsidRPr="009F322E">
              <w:rPr>
                <w:b/>
              </w:rPr>
              <w:t xml:space="preserve"> (EU 0</w:t>
            </w:r>
            <w:r>
              <w:rPr>
                <w:b/>
              </w:rPr>
              <w:t>47</w:t>
            </w:r>
            <w:r w:rsidRPr="009F322E">
              <w:rPr>
                <w:b/>
              </w:rPr>
              <w:t>)</w:t>
            </w:r>
          </w:p>
        </w:tc>
      </w:tr>
      <w:tr w:rsidR="009F322E" w:rsidRPr="009F322E" w:rsidTr="0086306E">
        <w:tc>
          <w:tcPr>
            <w:tcW w:w="2103" w:type="dxa"/>
            <w:tcBorders>
              <w:top w:val="single" w:sz="12" w:space="0" w:color="auto"/>
              <w:bottom w:val="single" w:sz="8" w:space="0" w:color="auto"/>
              <w:right w:val="single" w:sz="12" w:space="0" w:color="auto"/>
            </w:tcBorders>
          </w:tcPr>
          <w:p w:rsidR="009F322E" w:rsidRPr="009F322E" w:rsidRDefault="009F322E" w:rsidP="009F322E">
            <w:pPr>
              <w:jc w:val="center"/>
              <w:rPr>
                <w:color w:val="000000"/>
              </w:rPr>
            </w:pPr>
            <w:r w:rsidRPr="009F322E">
              <w:rPr>
                <w:color w:val="000000"/>
              </w:rPr>
              <w:t>RC-1</w:t>
            </w:r>
          </w:p>
        </w:tc>
        <w:tc>
          <w:tcPr>
            <w:tcW w:w="5727" w:type="dxa"/>
            <w:tcBorders>
              <w:top w:val="single" w:sz="12" w:space="0" w:color="auto"/>
              <w:left w:val="single" w:sz="12" w:space="0" w:color="auto"/>
              <w:bottom w:val="single" w:sz="8" w:space="0" w:color="auto"/>
              <w:right w:val="single" w:sz="12" w:space="0" w:color="auto"/>
            </w:tcBorders>
          </w:tcPr>
          <w:p w:rsidR="009F322E" w:rsidRPr="009F322E" w:rsidRDefault="009F322E" w:rsidP="009F322E">
            <w:pPr>
              <w:rPr>
                <w:color w:val="000000"/>
              </w:rPr>
            </w:pPr>
            <w:r w:rsidRPr="009F322E">
              <w:rPr>
                <w:color w:val="000000"/>
              </w:rPr>
              <w:t>Train Car Drop Unloading to Belt Feeder BF-1</w:t>
            </w:r>
          </w:p>
        </w:tc>
        <w:tc>
          <w:tcPr>
            <w:tcW w:w="2553" w:type="dxa"/>
            <w:tcBorders>
              <w:top w:val="single" w:sz="12" w:space="0" w:color="auto"/>
              <w:left w:val="single" w:sz="12" w:space="0" w:color="auto"/>
              <w:bottom w:val="single" w:sz="8" w:space="0" w:color="auto"/>
            </w:tcBorders>
            <w:vAlign w:val="center"/>
          </w:tcPr>
          <w:p w:rsidR="009F322E" w:rsidRPr="009F322E" w:rsidRDefault="0086306E" w:rsidP="0086306E">
            <w:pPr>
              <w:jc w:val="center"/>
              <w:rPr>
                <w:color w:val="000000"/>
              </w:rPr>
            </w:pPr>
            <w:r>
              <w:rPr>
                <w:color w:val="000000"/>
              </w:rPr>
              <w:t>Enclosed Building</w:t>
            </w: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RC-2</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tabs>
                <w:tab w:val="left" w:pos="360"/>
                <w:tab w:val="left" w:pos="720"/>
                <w:tab w:val="left" w:pos="1080"/>
                <w:tab w:val="left" w:pos="1440"/>
              </w:tabs>
              <w:rPr>
                <w:color w:val="000000"/>
              </w:rPr>
            </w:pPr>
            <w:r w:rsidRPr="009F322E">
              <w:rPr>
                <w:color w:val="000000"/>
              </w:rPr>
              <w:t>Transfer from BF-1 to Conveyor C-10</w:t>
            </w:r>
          </w:p>
        </w:tc>
        <w:tc>
          <w:tcPr>
            <w:tcW w:w="2553" w:type="dxa"/>
            <w:vMerge w:val="restart"/>
            <w:tcBorders>
              <w:top w:val="single" w:sz="8" w:space="0" w:color="auto"/>
              <w:left w:val="single" w:sz="12" w:space="0" w:color="auto"/>
              <w:bottom w:val="single" w:sz="8" w:space="0" w:color="auto"/>
            </w:tcBorders>
            <w:vAlign w:val="center"/>
          </w:tcPr>
          <w:p w:rsidR="0086306E" w:rsidRPr="009F322E" w:rsidRDefault="0086306E" w:rsidP="0086306E">
            <w:pPr>
              <w:tabs>
                <w:tab w:val="left" w:pos="360"/>
                <w:tab w:val="left" w:pos="720"/>
                <w:tab w:val="left" w:pos="1080"/>
                <w:tab w:val="left" w:pos="1440"/>
              </w:tabs>
              <w:jc w:val="center"/>
              <w:rPr>
                <w:color w:val="000000"/>
              </w:rPr>
            </w:pPr>
            <w:r>
              <w:t>Conveyor (covered)</w:t>
            </w:r>
            <w:r>
              <w:br/>
              <w:t>Transfer Point (Enclosed)</w:t>
            </w: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RC-3</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tabs>
                <w:tab w:val="left" w:pos="360"/>
                <w:tab w:val="left" w:pos="720"/>
                <w:tab w:val="left" w:pos="1080"/>
                <w:tab w:val="left" w:pos="1440"/>
              </w:tabs>
              <w:rPr>
                <w:color w:val="000000"/>
              </w:rPr>
            </w:pPr>
            <w:r w:rsidRPr="009F322E">
              <w:rPr>
                <w:color w:val="000000"/>
              </w:rPr>
              <w:t>Conveyor C-10 to Conveyor C-11</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tabs>
                <w:tab w:val="left" w:pos="360"/>
                <w:tab w:val="left" w:pos="720"/>
                <w:tab w:val="left" w:pos="1080"/>
                <w:tab w:val="left" w:pos="1440"/>
              </w:tabs>
              <w:jc w:val="center"/>
              <w:rPr>
                <w:color w:val="000000"/>
              </w:rPr>
            </w:pP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RC-4</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tabs>
                <w:tab w:val="left" w:pos="360"/>
                <w:tab w:val="left" w:pos="720"/>
                <w:tab w:val="left" w:pos="1080"/>
                <w:tab w:val="left" w:pos="1440"/>
              </w:tabs>
              <w:rPr>
                <w:color w:val="000000"/>
              </w:rPr>
            </w:pPr>
            <w:r w:rsidRPr="009F322E">
              <w:rPr>
                <w:color w:val="000000"/>
              </w:rPr>
              <w:t>Conveyor C-11 to Conveyor C-12</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tabs>
                <w:tab w:val="left" w:pos="360"/>
                <w:tab w:val="left" w:pos="720"/>
                <w:tab w:val="left" w:pos="1080"/>
                <w:tab w:val="left" w:pos="1440"/>
              </w:tabs>
              <w:jc w:val="center"/>
              <w:rPr>
                <w:color w:val="000000"/>
              </w:rPr>
            </w:pP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RC-5</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tabs>
                <w:tab w:val="left" w:pos="360"/>
                <w:tab w:val="left" w:pos="720"/>
                <w:tab w:val="left" w:pos="1080"/>
                <w:tab w:val="left" w:pos="1440"/>
              </w:tabs>
              <w:rPr>
                <w:color w:val="000000"/>
              </w:rPr>
            </w:pPr>
            <w:r w:rsidRPr="009F322E">
              <w:rPr>
                <w:color w:val="000000"/>
              </w:rPr>
              <w:t>Conveyor C-12 to Conveyor C-13</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tabs>
                <w:tab w:val="left" w:pos="360"/>
                <w:tab w:val="left" w:pos="720"/>
                <w:tab w:val="left" w:pos="1080"/>
                <w:tab w:val="left" w:pos="1440"/>
              </w:tabs>
              <w:jc w:val="center"/>
              <w:rPr>
                <w:color w:val="000000"/>
              </w:rPr>
            </w:pP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RC-6</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tabs>
                <w:tab w:val="left" w:pos="360"/>
                <w:tab w:val="left" w:pos="720"/>
                <w:tab w:val="left" w:pos="1080"/>
                <w:tab w:val="left" w:pos="1440"/>
              </w:tabs>
              <w:rPr>
                <w:color w:val="000000"/>
              </w:rPr>
            </w:pPr>
            <w:r w:rsidRPr="009F322E">
              <w:rPr>
                <w:color w:val="000000"/>
              </w:rPr>
              <w:t>Conveyor C-13 to Conveyor C-14</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tabs>
                <w:tab w:val="left" w:pos="360"/>
                <w:tab w:val="left" w:pos="720"/>
                <w:tab w:val="left" w:pos="1080"/>
                <w:tab w:val="left" w:pos="1440"/>
              </w:tabs>
              <w:jc w:val="center"/>
              <w:rPr>
                <w:color w:val="000000"/>
              </w:rPr>
            </w:pP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RC-7</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rPr>
                <w:color w:val="000000"/>
              </w:rPr>
            </w:pPr>
            <w:r w:rsidRPr="009F322E">
              <w:rPr>
                <w:color w:val="000000"/>
              </w:rPr>
              <w:t>Conveyor C-14 to Conveyor C-15</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jc w:val="center"/>
              <w:rPr>
                <w:color w:val="000000"/>
              </w:rPr>
            </w:pPr>
          </w:p>
        </w:tc>
      </w:tr>
      <w:tr w:rsidR="0086306E" w:rsidRPr="009F322E" w:rsidTr="0086306E">
        <w:tc>
          <w:tcPr>
            <w:tcW w:w="2103" w:type="dxa"/>
            <w:tcBorders>
              <w:top w:val="single" w:sz="8" w:space="0" w:color="auto"/>
              <w:bottom w:val="single" w:sz="8" w:space="0" w:color="auto"/>
              <w:right w:val="single" w:sz="12" w:space="0" w:color="auto"/>
            </w:tcBorders>
          </w:tcPr>
          <w:p w:rsidR="0086306E" w:rsidRPr="009F322E" w:rsidRDefault="0086306E" w:rsidP="009F322E">
            <w:pPr>
              <w:jc w:val="center"/>
              <w:rPr>
                <w:color w:val="000000"/>
              </w:rPr>
            </w:pPr>
            <w:r w:rsidRPr="009F322E">
              <w:rPr>
                <w:color w:val="000000"/>
              </w:rPr>
              <w:t>RC-8</w:t>
            </w:r>
          </w:p>
        </w:tc>
        <w:tc>
          <w:tcPr>
            <w:tcW w:w="5727" w:type="dxa"/>
            <w:tcBorders>
              <w:top w:val="single" w:sz="8" w:space="0" w:color="auto"/>
              <w:left w:val="single" w:sz="12" w:space="0" w:color="auto"/>
              <w:bottom w:val="single" w:sz="8" w:space="0" w:color="auto"/>
              <w:right w:val="single" w:sz="12" w:space="0" w:color="auto"/>
            </w:tcBorders>
          </w:tcPr>
          <w:p w:rsidR="0086306E" w:rsidRPr="009F322E" w:rsidRDefault="0086306E" w:rsidP="009F322E">
            <w:pPr>
              <w:rPr>
                <w:color w:val="000000"/>
              </w:rPr>
            </w:pPr>
            <w:r w:rsidRPr="009F322E">
              <w:rPr>
                <w:color w:val="000000"/>
              </w:rPr>
              <w:t>Conveyor C-15 to Conveyor C-16 or Conveyor P</w:t>
            </w:r>
          </w:p>
        </w:tc>
        <w:tc>
          <w:tcPr>
            <w:tcW w:w="2553" w:type="dxa"/>
            <w:vMerge/>
            <w:tcBorders>
              <w:top w:val="single" w:sz="8" w:space="0" w:color="auto"/>
              <w:left w:val="single" w:sz="12" w:space="0" w:color="auto"/>
              <w:bottom w:val="single" w:sz="8" w:space="0" w:color="auto"/>
            </w:tcBorders>
            <w:vAlign w:val="center"/>
          </w:tcPr>
          <w:p w:rsidR="0086306E" w:rsidRPr="009F322E" w:rsidRDefault="0086306E" w:rsidP="0086306E">
            <w:pPr>
              <w:jc w:val="center"/>
              <w:rPr>
                <w:color w:val="000000"/>
              </w:rPr>
            </w:pPr>
          </w:p>
        </w:tc>
      </w:tr>
      <w:tr w:rsidR="009F322E" w:rsidRPr="009F322E" w:rsidTr="00166364">
        <w:tc>
          <w:tcPr>
            <w:tcW w:w="2103" w:type="dxa"/>
            <w:tcBorders>
              <w:top w:val="single" w:sz="8" w:space="0" w:color="auto"/>
              <w:bottom w:val="single" w:sz="12" w:space="0" w:color="auto"/>
              <w:right w:val="single" w:sz="12" w:space="0" w:color="auto"/>
            </w:tcBorders>
            <w:vAlign w:val="center"/>
          </w:tcPr>
          <w:p w:rsidR="009F322E" w:rsidRPr="009F322E" w:rsidRDefault="009F322E" w:rsidP="00166364">
            <w:pPr>
              <w:jc w:val="center"/>
              <w:rPr>
                <w:color w:val="000000"/>
              </w:rPr>
            </w:pPr>
            <w:r w:rsidRPr="009F322E">
              <w:rPr>
                <w:color w:val="000000"/>
              </w:rPr>
              <w:t>RC-9</w:t>
            </w:r>
          </w:p>
        </w:tc>
        <w:tc>
          <w:tcPr>
            <w:tcW w:w="5727" w:type="dxa"/>
            <w:tcBorders>
              <w:top w:val="single" w:sz="8" w:space="0" w:color="auto"/>
              <w:left w:val="single" w:sz="12" w:space="0" w:color="auto"/>
              <w:bottom w:val="single" w:sz="12" w:space="0" w:color="auto"/>
              <w:right w:val="single" w:sz="12" w:space="0" w:color="auto"/>
            </w:tcBorders>
            <w:vAlign w:val="center"/>
          </w:tcPr>
          <w:p w:rsidR="009F322E" w:rsidRPr="009F322E" w:rsidRDefault="009F322E" w:rsidP="00166364">
            <w:pPr>
              <w:rPr>
                <w:color w:val="000000"/>
              </w:rPr>
            </w:pPr>
            <w:r w:rsidRPr="009F322E">
              <w:rPr>
                <w:color w:val="000000"/>
              </w:rPr>
              <w:t>Conveyor C-16 Drop to Conveyor F</w:t>
            </w:r>
          </w:p>
        </w:tc>
        <w:tc>
          <w:tcPr>
            <w:tcW w:w="2553" w:type="dxa"/>
            <w:tcBorders>
              <w:top w:val="single" w:sz="8" w:space="0" w:color="auto"/>
              <w:left w:val="single" w:sz="12" w:space="0" w:color="auto"/>
              <w:bottom w:val="single" w:sz="12" w:space="0" w:color="auto"/>
            </w:tcBorders>
            <w:vAlign w:val="center"/>
          </w:tcPr>
          <w:p w:rsidR="009F322E" w:rsidRPr="009F322E" w:rsidRDefault="0086306E" w:rsidP="0086306E">
            <w:pPr>
              <w:jc w:val="center"/>
              <w:rPr>
                <w:color w:val="000000"/>
              </w:rPr>
            </w:pPr>
            <w:r>
              <w:t>Conveyor F1 (open)</w:t>
            </w:r>
            <w:r>
              <w:br/>
              <w:t>Transfer Point (Enclosed)</w:t>
            </w:r>
          </w:p>
        </w:tc>
      </w:tr>
    </w:tbl>
    <w:p w:rsidR="00EF6618" w:rsidRPr="009A5405" w:rsidRDefault="00026723" w:rsidP="009A5405">
      <w:pPr>
        <w:pStyle w:val="ListParagraph"/>
        <w:numPr>
          <w:ilvl w:val="1"/>
          <w:numId w:val="8"/>
        </w:numPr>
        <w:spacing w:before="120" w:after="120"/>
        <w:ind w:left="720" w:hanging="720"/>
        <w:contextualSpacing w:val="0"/>
        <w:rPr>
          <w:b/>
          <w:sz w:val="22"/>
          <w:szCs w:val="22"/>
        </w:rPr>
      </w:pPr>
      <w:r w:rsidRPr="009A5405">
        <w:rPr>
          <w:b/>
          <w:sz w:val="22"/>
          <w:szCs w:val="22"/>
        </w:rPr>
        <w:t>Project Emissions</w:t>
      </w:r>
    </w:p>
    <w:p w:rsidR="009A5405" w:rsidRDefault="00026723" w:rsidP="00EF6618">
      <w:pPr>
        <w:pStyle w:val="BodyText3"/>
        <w:widowControl w:val="0"/>
        <w:rPr>
          <w:szCs w:val="22"/>
        </w:rPr>
      </w:pPr>
      <w:r>
        <w:rPr>
          <w:szCs w:val="22"/>
        </w:rPr>
        <w:t>According to the application, the potential emissions from the project consist of fugitive emissions of PM and PM</w:t>
      </w:r>
      <w:r w:rsidRPr="00823C4E">
        <w:rPr>
          <w:szCs w:val="22"/>
          <w:vertAlign w:val="subscript"/>
        </w:rPr>
        <w:t>10</w:t>
      </w:r>
      <w:r>
        <w:rPr>
          <w:szCs w:val="22"/>
        </w:rPr>
        <w:t xml:space="preserve">.  </w:t>
      </w:r>
      <w:r w:rsidR="003B1396" w:rsidRPr="003B1396">
        <w:rPr>
          <w:b/>
          <w:szCs w:val="22"/>
        </w:rPr>
        <w:fldChar w:fldCharType="begin"/>
      </w:r>
      <w:r w:rsidR="003B1396" w:rsidRPr="003B1396">
        <w:rPr>
          <w:b/>
          <w:szCs w:val="22"/>
        </w:rPr>
        <w:instrText xml:space="preserve"> REF _Ref412212778 \h </w:instrText>
      </w:r>
      <w:r w:rsidR="003B1396">
        <w:rPr>
          <w:b/>
          <w:szCs w:val="22"/>
        </w:rPr>
        <w:instrText xml:space="preserve"> \* MERGEFORMAT </w:instrText>
      </w:r>
      <w:r w:rsidR="003B1396" w:rsidRPr="003B1396">
        <w:rPr>
          <w:b/>
          <w:szCs w:val="22"/>
        </w:rPr>
      </w:r>
      <w:r w:rsidR="003B1396" w:rsidRPr="003B1396">
        <w:rPr>
          <w:b/>
          <w:szCs w:val="22"/>
        </w:rPr>
        <w:fldChar w:fldCharType="separate"/>
      </w:r>
      <w:r w:rsidR="009A5405" w:rsidRPr="009A5405">
        <w:rPr>
          <w:b/>
          <w:szCs w:val="22"/>
        </w:rPr>
        <w:t xml:space="preserve">Table </w:t>
      </w:r>
      <w:r w:rsidR="009A5405" w:rsidRPr="009A5405">
        <w:rPr>
          <w:b/>
          <w:noProof/>
          <w:szCs w:val="22"/>
        </w:rPr>
        <w:t>4</w:t>
      </w:r>
      <w:r w:rsidR="003B1396" w:rsidRPr="003B1396">
        <w:rPr>
          <w:b/>
          <w:szCs w:val="22"/>
        </w:rPr>
        <w:fldChar w:fldCharType="end"/>
      </w:r>
      <w:r>
        <w:rPr>
          <w:szCs w:val="22"/>
        </w:rPr>
        <w:t xml:space="preserve"> </w:t>
      </w:r>
      <w:r w:rsidR="00A70824">
        <w:rPr>
          <w:szCs w:val="22"/>
        </w:rPr>
        <w:t>summarizes</w:t>
      </w:r>
      <w:r w:rsidR="00A70824" w:rsidRPr="00290299">
        <w:rPr>
          <w:szCs w:val="22"/>
        </w:rPr>
        <w:t xml:space="preserve"> </w:t>
      </w:r>
      <w:r w:rsidR="00A70824">
        <w:rPr>
          <w:szCs w:val="22"/>
        </w:rPr>
        <w:t>the annual emissions from these emission units</w:t>
      </w:r>
      <w:r w:rsidR="00A70824" w:rsidRPr="001577B5">
        <w:rPr>
          <w:szCs w:val="22"/>
        </w:rPr>
        <w:t>.</w:t>
      </w:r>
    </w:p>
    <w:p w:rsidR="009A5405" w:rsidRDefault="009A5405">
      <w:pPr>
        <w:rPr>
          <w:sz w:val="22"/>
          <w:szCs w:val="22"/>
        </w:rPr>
      </w:pPr>
      <w:r>
        <w:rPr>
          <w:szCs w:val="22"/>
        </w:rPr>
        <w:br w:type="page"/>
      </w:r>
    </w:p>
    <w:p w:rsidR="003B1396" w:rsidRPr="00F82BD0" w:rsidRDefault="003B1396" w:rsidP="003B1396">
      <w:pPr>
        <w:pStyle w:val="Caption"/>
        <w:spacing w:after="120"/>
        <w:jc w:val="center"/>
        <w:rPr>
          <w:caps/>
          <w:sz w:val="22"/>
          <w:szCs w:val="22"/>
        </w:rPr>
      </w:pPr>
      <w:bookmarkStart w:id="5" w:name="_Ref412212778"/>
      <w:r w:rsidRPr="00F82BD0">
        <w:rPr>
          <w:caps/>
          <w:sz w:val="22"/>
          <w:szCs w:val="22"/>
        </w:rPr>
        <w:lastRenderedPageBreak/>
        <w:t xml:space="preserve">Table </w:t>
      </w:r>
      <w:r w:rsidRPr="00F82BD0">
        <w:rPr>
          <w:caps/>
          <w:sz w:val="22"/>
          <w:szCs w:val="22"/>
        </w:rPr>
        <w:fldChar w:fldCharType="begin"/>
      </w:r>
      <w:r w:rsidRPr="00F82BD0">
        <w:rPr>
          <w:caps/>
          <w:sz w:val="22"/>
          <w:szCs w:val="22"/>
        </w:rPr>
        <w:instrText xml:space="preserve"> SEQ Table \* ARABIC </w:instrText>
      </w:r>
      <w:r w:rsidRPr="00F82BD0">
        <w:rPr>
          <w:caps/>
          <w:sz w:val="22"/>
          <w:szCs w:val="22"/>
        </w:rPr>
        <w:fldChar w:fldCharType="separate"/>
      </w:r>
      <w:r w:rsidR="009A5405" w:rsidRPr="00F82BD0">
        <w:rPr>
          <w:caps/>
          <w:noProof/>
          <w:sz w:val="22"/>
          <w:szCs w:val="22"/>
        </w:rPr>
        <w:t>4</w:t>
      </w:r>
      <w:r w:rsidRPr="00F82BD0">
        <w:rPr>
          <w:caps/>
          <w:sz w:val="22"/>
          <w:szCs w:val="22"/>
        </w:rPr>
        <w:fldChar w:fldCharType="end"/>
      </w:r>
      <w:bookmarkEnd w:id="5"/>
      <w:r w:rsidR="00F82BD0">
        <w:rPr>
          <w:caps/>
          <w:sz w:val="22"/>
          <w:szCs w:val="22"/>
        </w:rPr>
        <w:t xml:space="preserve"> - </w:t>
      </w:r>
      <w:r w:rsidRPr="00F82BD0">
        <w:rPr>
          <w:caps/>
          <w:sz w:val="22"/>
          <w:szCs w:val="22"/>
        </w:rPr>
        <w:t xml:space="preserve">Annual Emissions Summary for the </w:t>
      </w:r>
      <w:r w:rsidR="00F82BD0">
        <w:rPr>
          <w:caps/>
          <w:sz w:val="22"/>
          <w:szCs w:val="22"/>
        </w:rPr>
        <w:t>project</w:t>
      </w:r>
      <w:r w:rsidRPr="00F82BD0">
        <w:rPr>
          <w:caps/>
          <w:sz w:val="22"/>
          <w:szCs w:val="22"/>
        </w:rPr>
        <w:t>.</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675"/>
        <w:gridCol w:w="2070"/>
        <w:gridCol w:w="2070"/>
        <w:gridCol w:w="1890"/>
      </w:tblGrid>
      <w:tr w:rsidR="00A70824" w:rsidTr="003B1396">
        <w:trPr>
          <w:trHeight w:val="172"/>
          <w:tblHeader/>
        </w:trPr>
        <w:tc>
          <w:tcPr>
            <w:tcW w:w="3675" w:type="dxa"/>
            <w:vMerge w:val="restart"/>
            <w:shd w:val="clear" w:color="auto" w:fill="C6D9F1" w:themeFill="text2" w:themeFillTint="33"/>
            <w:vAlign w:val="center"/>
          </w:tcPr>
          <w:p w:rsidR="00A70824" w:rsidRPr="00A70824" w:rsidRDefault="00F3204F" w:rsidP="00F3204F">
            <w:pPr>
              <w:pStyle w:val="BodyText3"/>
              <w:widowControl w:val="0"/>
              <w:spacing w:before="0" w:after="0"/>
              <w:jc w:val="center"/>
              <w:rPr>
                <w:b/>
                <w:sz w:val="20"/>
              </w:rPr>
            </w:pPr>
            <w:r>
              <w:rPr>
                <w:b/>
                <w:sz w:val="20"/>
              </w:rPr>
              <w:t>Description</w:t>
            </w:r>
          </w:p>
        </w:tc>
        <w:tc>
          <w:tcPr>
            <w:tcW w:w="2070" w:type="dxa"/>
            <w:vMerge w:val="restart"/>
            <w:shd w:val="clear" w:color="auto" w:fill="C6D9F1" w:themeFill="text2" w:themeFillTint="33"/>
            <w:vAlign w:val="center"/>
          </w:tcPr>
          <w:p w:rsidR="00A70824" w:rsidRPr="00A70824" w:rsidRDefault="00F3204F" w:rsidP="00A70824">
            <w:pPr>
              <w:pStyle w:val="BodyText3"/>
              <w:widowControl w:val="0"/>
              <w:spacing w:before="0" w:after="0"/>
              <w:jc w:val="center"/>
              <w:rPr>
                <w:b/>
                <w:sz w:val="20"/>
              </w:rPr>
            </w:pPr>
            <w:r>
              <w:rPr>
                <w:b/>
                <w:sz w:val="20"/>
              </w:rPr>
              <w:t>Pollutant</w:t>
            </w:r>
          </w:p>
        </w:tc>
        <w:tc>
          <w:tcPr>
            <w:tcW w:w="3960" w:type="dxa"/>
            <w:gridSpan w:val="2"/>
            <w:shd w:val="clear" w:color="auto" w:fill="C6D9F1" w:themeFill="text2" w:themeFillTint="33"/>
            <w:vAlign w:val="center"/>
          </w:tcPr>
          <w:p w:rsidR="00A70824" w:rsidRPr="00A70824" w:rsidRDefault="00A70824" w:rsidP="00A70824">
            <w:pPr>
              <w:pStyle w:val="BodyText3"/>
              <w:widowControl w:val="0"/>
              <w:spacing w:before="0" w:after="0"/>
              <w:jc w:val="center"/>
              <w:rPr>
                <w:b/>
                <w:sz w:val="20"/>
              </w:rPr>
            </w:pPr>
            <w:r w:rsidRPr="00A70824">
              <w:rPr>
                <w:b/>
                <w:sz w:val="20"/>
              </w:rPr>
              <w:t>Equivalent to</w:t>
            </w:r>
          </w:p>
        </w:tc>
      </w:tr>
      <w:tr w:rsidR="00A70824" w:rsidTr="003B1396">
        <w:trPr>
          <w:trHeight w:val="172"/>
          <w:tblHeader/>
        </w:trPr>
        <w:tc>
          <w:tcPr>
            <w:tcW w:w="3675" w:type="dxa"/>
            <w:vMerge/>
            <w:tcBorders>
              <w:bottom w:val="single" w:sz="12" w:space="0" w:color="auto"/>
            </w:tcBorders>
          </w:tcPr>
          <w:p w:rsidR="00A70824" w:rsidRPr="00A70824" w:rsidRDefault="00A70824" w:rsidP="00A70824">
            <w:pPr>
              <w:pStyle w:val="BodyText3"/>
              <w:widowControl w:val="0"/>
              <w:spacing w:before="0" w:after="0"/>
              <w:rPr>
                <w:sz w:val="20"/>
              </w:rPr>
            </w:pPr>
          </w:p>
        </w:tc>
        <w:tc>
          <w:tcPr>
            <w:tcW w:w="2070" w:type="dxa"/>
            <w:vMerge/>
            <w:tcBorders>
              <w:bottom w:val="single" w:sz="12" w:space="0" w:color="auto"/>
            </w:tcBorders>
          </w:tcPr>
          <w:p w:rsidR="00A70824" w:rsidRPr="00A70824" w:rsidRDefault="00A70824" w:rsidP="00A70824">
            <w:pPr>
              <w:pStyle w:val="BodyText3"/>
              <w:widowControl w:val="0"/>
              <w:spacing w:before="0" w:after="0"/>
              <w:rPr>
                <w:sz w:val="20"/>
              </w:rPr>
            </w:pPr>
          </w:p>
        </w:tc>
        <w:tc>
          <w:tcPr>
            <w:tcW w:w="2070" w:type="dxa"/>
            <w:tcBorders>
              <w:bottom w:val="single" w:sz="12" w:space="0" w:color="auto"/>
            </w:tcBorders>
            <w:shd w:val="clear" w:color="auto" w:fill="C6D9F1" w:themeFill="text2" w:themeFillTint="33"/>
            <w:vAlign w:val="center"/>
          </w:tcPr>
          <w:p w:rsidR="00A70824" w:rsidRPr="00A70824" w:rsidRDefault="00A70824" w:rsidP="00A70824">
            <w:pPr>
              <w:pStyle w:val="BodyText3"/>
              <w:widowControl w:val="0"/>
              <w:spacing w:before="0" w:after="0"/>
              <w:jc w:val="center"/>
              <w:rPr>
                <w:b/>
                <w:sz w:val="20"/>
              </w:rPr>
            </w:pPr>
            <w:r w:rsidRPr="00A70824">
              <w:rPr>
                <w:b/>
                <w:sz w:val="20"/>
              </w:rPr>
              <w:t>lb/hour</w:t>
            </w:r>
          </w:p>
        </w:tc>
        <w:tc>
          <w:tcPr>
            <w:tcW w:w="1890" w:type="dxa"/>
            <w:tcBorders>
              <w:bottom w:val="single" w:sz="12" w:space="0" w:color="auto"/>
            </w:tcBorders>
            <w:shd w:val="clear" w:color="auto" w:fill="C6D9F1" w:themeFill="text2" w:themeFillTint="33"/>
            <w:vAlign w:val="center"/>
          </w:tcPr>
          <w:p w:rsidR="00A70824" w:rsidRPr="00A70824" w:rsidRDefault="00A70824" w:rsidP="00A70824">
            <w:pPr>
              <w:pStyle w:val="BodyText3"/>
              <w:widowControl w:val="0"/>
              <w:spacing w:before="0" w:after="0"/>
              <w:jc w:val="center"/>
              <w:rPr>
                <w:b/>
                <w:sz w:val="20"/>
              </w:rPr>
            </w:pPr>
            <w:r>
              <w:rPr>
                <w:b/>
                <w:sz w:val="20"/>
              </w:rPr>
              <w:t>TPY</w:t>
            </w:r>
          </w:p>
        </w:tc>
      </w:tr>
      <w:tr w:rsidR="00F3204F" w:rsidTr="00F157D6">
        <w:tc>
          <w:tcPr>
            <w:tcW w:w="3675" w:type="dxa"/>
            <w:vMerge w:val="restart"/>
            <w:vAlign w:val="center"/>
          </w:tcPr>
          <w:p w:rsidR="00F3204F" w:rsidRPr="00A70824" w:rsidRDefault="00F3204F" w:rsidP="00F3204F">
            <w:pPr>
              <w:pStyle w:val="BodyText3"/>
              <w:widowControl w:val="0"/>
              <w:spacing w:before="0" w:after="0"/>
              <w:rPr>
                <w:sz w:val="20"/>
              </w:rPr>
            </w:pPr>
            <w:r>
              <w:rPr>
                <w:sz w:val="20"/>
              </w:rPr>
              <w:t>Transfer Points</w:t>
            </w:r>
          </w:p>
        </w:tc>
        <w:tc>
          <w:tcPr>
            <w:tcW w:w="207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PM</w:t>
            </w:r>
          </w:p>
        </w:tc>
        <w:tc>
          <w:tcPr>
            <w:tcW w:w="207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0.68</w:t>
            </w:r>
            <w:r w:rsidR="00F157D6">
              <w:rPr>
                <w:sz w:val="20"/>
              </w:rPr>
              <w:t>5</w:t>
            </w:r>
          </w:p>
        </w:tc>
        <w:tc>
          <w:tcPr>
            <w:tcW w:w="189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3.0</w:t>
            </w:r>
          </w:p>
        </w:tc>
      </w:tr>
      <w:tr w:rsidR="00F3204F" w:rsidTr="00F157D6">
        <w:tc>
          <w:tcPr>
            <w:tcW w:w="3675" w:type="dxa"/>
            <w:vMerge/>
            <w:tcBorders>
              <w:bottom w:val="single" w:sz="12" w:space="0" w:color="auto"/>
            </w:tcBorders>
            <w:vAlign w:val="center"/>
          </w:tcPr>
          <w:p w:rsidR="00F3204F" w:rsidRDefault="00F3204F" w:rsidP="00F3204F">
            <w:pPr>
              <w:pStyle w:val="BodyText3"/>
              <w:widowControl w:val="0"/>
              <w:spacing w:before="0" w:after="0"/>
              <w:rPr>
                <w:sz w:val="20"/>
              </w:rPr>
            </w:pP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PM</w:t>
            </w:r>
            <w:r w:rsidRPr="00F3204F">
              <w:rPr>
                <w:sz w:val="20"/>
                <w:vertAlign w:val="subscript"/>
              </w:rPr>
              <w:t>10</w:t>
            </w: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0.32</w:t>
            </w:r>
          </w:p>
        </w:tc>
        <w:tc>
          <w:tcPr>
            <w:tcW w:w="189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1.4</w:t>
            </w:r>
          </w:p>
        </w:tc>
      </w:tr>
      <w:tr w:rsidR="00F3204F" w:rsidTr="00F157D6">
        <w:tc>
          <w:tcPr>
            <w:tcW w:w="3675" w:type="dxa"/>
            <w:vMerge w:val="restart"/>
            <w:tcBorders>
              <w:top w:val="single" w:sz="12" w:space="0" w:color="auto"/>
            </w:tcBorders>
            <w:vAlign w:val="center"/>
          </w:tcPr>
          <w:p w:rsidR="00F3204F" w:rsidRPr="00A70824" w:rsidRDefault="00F3204F" w:rsidP="00F3204F">
            <w:pPr>
              <w:pStyle w:val="BodyText3"/>
              <w:widowControl w:val="0"/>
              <w:spacing w:before="0" w:after="0"/>
              <w:rPr>
                <w:sz w:val="20"/>
              </w:rPr>
            </w:pPr>
            <w:r>
              <w:rPr>
                <w:sz w:val="20"/>
              </w:rPr>
              <w:t>Storage Pile (wind erosion)</w:t>
            </w:r>
          </w:p>
        </w:tc>
        <w:tc>
          <w:tcPr>
            <w:tcW w:w="207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PM</w:t>
            </w:r>
          </w:p>
        </w:tc>
        <w:tc>
          <w:tcPr>
            <w:tcW w:w="2070" w:type="dxa"/>
            <w:tcBorders>
              <w:top w:val="single" w:sz="12" w:space="0" w:color="auto"/>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0.02</w:t>
            </w:r>
          </w:p>
        </w:tc>
        <w:tc>
          <w:tcPr>
            <w:tcW w:w="1890" w:type="dxa"/>
            <w:tcBorders>
              <w:top w:val="single" w:sz="12" w:space="0" w:color="auto"/>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0.086</w:t>
            </w:r>
          </w:p>
        </w:tc>
      </w:tr>
      <w:tr w:rsidR="00F3204F" w:rsidTr="00F157D6">
        <w:tc>
          <w:tcPr>
            <w:tcW w:w="3675" w:type="dxa"/>
            <w:vMerge/>
            <w:tcBorders>
              <w:bottom w:val="single" w:sz="12" w:space="0" w:color="auto"/>
            </w:tcBorders>
            <w:vAlign w:val="center"/>
          </w:tcPr>
          <w:p w:rsidR="00F3204F" w:rsidRDefault="00F3204F" w:rsidP="00F3204F">
            <w:pPr>
              <w:pStyle w:val="BodyText3"/>
              <w:widowControl w:val="0"/>
              <w:spacing w:before="0" w:after="0"/>
              <w:rPr>
                <w:sz w:val="20"/>
              </w:rPr>
            </w:pP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PM</w:t>
            </w:r>
            <w:r w:rsidRPr="00F3204F">
              <w:rPr>
                <w:sz w:val="20"/>
                <w:vertAlign w:val="subscript"/>
              </w:rPr>
              <w:t>10</w:t>
            </w: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0.01</w:t>
            </w:r>
          </w:p>
        </w:tc>
        <w:tc>
          <w:tcPr>
            <w:tcW w:w="189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0.043</w:t>
            </w:r>
          </w:p>
        </w:tc>
      </w:tr>
      <w:tr w:rsidR="00F3204F" w:rsidTr="00F157D6">
        <w:tc>
          <w:tcPr>
            <w:tcW w:w="3675" w:type="dxa"/>
            <w:vMerge w:val="restart"/>
            <w:tcBorders>
              <w:top w:val="single" w:sz="12" w:space="0" w:color="auto"/>
            </w:tcBorders>
            <w:vAlign w:val="center"/>
          </w:tcPr>
          <w:p w:rsidR="00F3204F" w:rsidRPr="00A70824" w:rsidRDefault="00F3204F" w:rsidP="00F3204F">
            <w:pPr>
              <w:pStyle w:val="BodyText3"/>
              <w:widowControl w:val="0"/>
              <w:spacing w:before="0" w:after="0"/>
              <w:rPr>
                <w:sz w:val="20"/>
              </w:rPr>
            </w:pPr>
            <w:r>
              <w:rPr>
                <w:sz w:val="20"/>
              </w:rPr>
              <w:t>Storage Pile (Dozer Operations</w:t>
            </w:r>
          </w:p>
        </w:tc>
        <w:tc>
          <w:tcPr>
            <w:tcW w:w="207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PM</w:t>
            </w:r>
          </w:p>
        </w:tc>
        <w:tc>
          <w:tcPr>
            <w:tcW w:w="2070" w:type="dxa"/>
            <w:tcBorders>
              <w:top w:val="single" w:sz="12" w:space="0" w:color="auto"/>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0.03</w:t>
            </w:r>
          </w:p>
        </w:tc>
        <w:tc>
          <w:tcPr>
            <w:tcW w:w="1890" w:type="dxa"/>
            <w:tcBorders>
              <w:top w:val="single" w:sz="12" w:space="0" w:color="auto"/>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0.15</w:t>
            </w:r>
          </w:p>
        </w:tc>
      </w:tr>
      <w:tr w:rsidR="00F3204F" w:rsidTr="00F157D6">
        <w:tc>
          <w:tcPr>
            <w:tcW w:w="3675" w:type="dxa"/>
            <w:vMerge/>
            <w:tcBorders>
              <w:bottom w:val="single" w:sz="12" w:space="0" w:color="auto"/>
            </w:tcBorders>
            <w:vAlign w:val="center"/>
          </w:tcPr>
          <w:p w:rsidR="00F3204F" w:rsidRDefault="00F3204F" w:rsidP="00F3204F">
            <w:pPr>
              <w:pStyle w:val="BodyText3"/>
              <w:widowControl w:val="0"/>
              <w:spacing w:before="0" w:after="0"/>
              <w:rPr>
                <w:sz w:val="20"/>
              </w:rPr>
            </w:pP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PM</w:t>
            </w:r>
            <w:r w:rsidRPr="00F3204F">
              <w:rPr>
                <w:sz w:val="20"/>
                <w:vertAlign w:val="subscript"/>
              </w:rPr>
              <w:t>10</w:t>
            </w: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0.007</w:t>
            </w:r>
          </w:p>
        </w:tc>
        <w:tc>
          <w:tcPr>
            <w:tcW w:w="189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0.032</w:t>
            </w:r>
          </w:p>
        </w:tc>
      </w:tr>
      <w:tr w:rsidR="00F3204F" w:rsidTr="00F157D6">
        <w:tc>
          <w:tcPr>
            <w:tcW w:w="3675" w:type="dxa"/>
            <w:vMerge w:val="restart"/>
            <w:tcBorders>
              <w:top w:val="single" w:sz="12" w:space="0" w:color="auto"/>
            </w:tcBorders>
            <w:vAlign w:val="center"/>
          </w:tcPr>
          <w:p w:rsidR="00F3204F" w:rsidRPr="00A70824" w:rsidRDefault="00F3204F" w:rsidP="00F3204F">
            <w:pPr>
              <w:pStyle w:val="BodyText3"/>
              <w:widowControl w:val="0"/>
              <w:spacing w:before="0" w:after="0"/>
              <w:rPr>
                <w:sz w:val="20"/>
              </w:rPr>
            </w:pPr>
            <w:r>
              <w:rPr>
                <w:sz w:val="20"/>
              </w:rPr>
              <w:t>Truck Traffic</w:t>
            </w:r>
          </w:p>
        </w:tc>
        <w:tc>
          <w:tcPr>
            <w:tcW w:w="2070" w:type="dxa"/>
            <w:tcBorders>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PM</w:t>
            </w:r>
          </w:p>
        </w:tc>
        <w:tc>
          <w:tcPr>
            <w:tcW w:w="2070" w:type="dxa"/>
            <w:tcBorders>
              <w:top w:val="single" w:sz="12" w:space="0" w:color="auto"/>
              <w:bottom w:val="single" w:sz="8" w:space="0" w:color="auto"/>
            </w:tcBorders>
            <w:vAlign w:val="center"/>
          </w:tcPr>
          <w:p w:rsidR="00F3204F" w:rsidRPr="00A70824" w:rsidRDefault="00F157D6" w:rsidP="00F3204F">
            <w:pPr>
              <w:pStyle w:val="BodyText3"/>
              <w:widowControl w:val="0"/>
              <w:spacing w:before="0" w:after="0"/>
              <w:jc w:val="center"/>
              <w:rPr>
                <w:sz w:val="20"/>
              </w:rPr>
            </w:pPr>
            <w:r>
              <w:rPr>
                <w:sz w:val="20"/>
              </w:rPr>
              <w:t>0.25</w:t>
            </w:r>
          </w:p>
        </w:tc>
        <w:tc>
          <w:tcPr>
            <w:tcW w:w="1890" w:type="dxa"/>
            <w:tcBorders>
              <w:top w:val="single" w:sz="12" w:space="0" w:color="auto"/>
              <w:bottom w:val="single" w:sz="8" w:space="0" w:color="auto"/>
            </w:tcBorders>
            <w:vAlign w:val="center"/>
          </w:tcPr>
          <w:p w:rsidR="00F3204F" w:rsidRPr="00A70824" w:rsidRDefault="00F3204F" w:rsidP="00F3204F">
            <w:pPr>
              <w:pStyle w:val="BodyText3"/>
              <w:widowControl w:val="0"/>
              <w:spacing w:before="0" w:after="0"/>
              <w:jc w:val="center"/>
              <w:rPr>
                <w:sz w:val="20"/>
              </w:rPr>
            </w:pPr>
            <w:r>
              <w:rPr>
                <w:sz w:val="20"/>
              </w:rPr>
              <w:t>1.1</w:t>
            </w:r>
          </w:p>
        </w:tc>
      </w:tr>
      <w:tr w:rsidR="00F3204F" w:rsidTr="00F157D6">
        <w:tc>
          <w:tcPr>
            <w:tcW w:w="3675" w:type="dxa"/>
            <w:vMerge/>
            <w:tcBorders>
              <w:bottom w:val="single" w:sz="12" w:space="0" w:color="auto"/>
            </w:tcBorders>
          </w:tcPr>
          <w:p w:rsidR="00F3204F" w:rsidRPr="00A70824" w:rsidRDefault="00F3204F" w:rsidP="00F3204F">
            <w:pPr>
              <w:pStyle w:val="BodyText3"/>
              <w:widowControl w:val="0"/>
              <w:spacing w:before="0" w:after="0"/>
              <w:rPr>
                <w:sz w:val="20"/>
              </w:rPr>
            </w:pPr>
          </w:p>
        </w:tc>
        <w:tc>
          <w:tcPr>
            <w:tcW w:w="207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PM</w:t>
            </w:r>
            <w:r w:rsidRPr="00F3204F">
              <w:rPr>
                <w:sz w:val="20"/>
                <w:vertAlign w:val="subscript"/>
              </w:rPr>
              <w:t>10</w:t>
            </w:r>
          </w:p>
        </w:tc>
        <w:tc>
          <w:tcPr>
            <w:tcW w:w="2070" w:type="dxa"/>
            <w:tcBorders>
              <w:top w:val="single" w:sz="8" w:space="0" w:color="auto"/>
              <w:bottom w:val="single" w:sz="12" w:space="0" w:color="auto"/>
            </w:tcBorders>
            <w:vAlign w:val="center"/>
          </w:tcPr>
          <w:p w:rsidR="00F3204F" w:rsidRPr="00A70824" w:rsidRDefault="00F157D6" w:rsidP="00F3204F">
            <w:pPr>
              <w:pStyle w:val="BodyText3"/>
              <w:widowControl w:val="0"/>
              <w:spacing w:before="0" w:after="0"/>
              <w:jc w:val="center"/>
              <w:rPr>
                <w:sz w:val="20"/>
              </w:rPr>
            </w:pPr>
            <w:r>
              <w:rPr>
                <w:sz w:val="20"/>
              </w:rPr>
              <w:t>0.055</w:t>
            </w:r>
          </w:p>
        </w:tc>
        <w:tc>
          <w:tcPr>
            <w:tcW w:w="1890" w:type="dxa"/>
            <w:tcBorders>
              <w:top w:val="single" w:sz="8" w:space="0" w:color="auto"/>
              <w:bottom w:val="single" w:sz="12" w:space="0" w:color="auto"/>
            </w:tcBorders>
            <w:vAlign w:val="center"/>
          </w:tcPr>
          <w:p w:rsidR="00F3204F" w:rsidRPr="00A70824" w:rsidRDefault="00F3204F" w:rsidP="00F3204F">
            <w:pPr>
              <w:pStyle w:val="BodyText3"/>
              <w:widowControl w:val="0"/>
              <w:spacing w:before="0" w:after="0"/>
              <w:jc w:val="center"/>
              <w:rPr>
                <w:sz w:val="20"/>
              </w:rPr>
            </w:pPr>
            <w:r>
              <w:rPr>
                <w:sz w:val="20"/>
              </w:rPr>
              <w:t>0.24</w:t>
            </w:r>
          </w:p>
        </w:tc>
      </w:tr>
      <w:tr w:rsidR="00F157D6" w:rsidRPr="00F157D6" w:rsidTr="00F157D6">
        <w:tc>
          <w:tcPr>
            <w:tcW w:w="9705" w:type="dxa"/>
            <w:gridSpan w:val="4"/>
          </w:tcPr>
          <w:p w:rsidR="00F157D6" w:rsidRDefault="00F157D6" w:rsidP="00F157D6">
            <w:pPr>
              <w:pStyle w:val="BodyText3"/>
              <w:widowControl w:val="0"/>
              <w:numPr>
                <w:ilvl w:val="0"/>
                <w:numId w:val="10"/>
              </w:numPr>
              <w:spacing w:before="0" w:after="0"/>
              <w:rPr>
                <w:sz w:val="18"/>
                <w:szCs w:val="18"/>
              </w:rPr>
            </w:pPr>
            <w:r>
              <w:rPr>
                <w:sz w:val="18"/>
                <w:szCs w:val="18"/>
              </w:rPr>
              <w:t>TPY = tons per year.</w:t>
            </w:r>
          </w:p>
          <w:p w:rsidR="00F157D6" w:rsidRDefault="00F157D6" w:rsidP="00F157D6">
            <w:pPr>
              <w:pStyle w:val="BodyText3"/>
              <w:widowControl w:val="0"/>
              <w:numPr>
                <w:ilvl w:val="0"/>
                <w:numId w:val="10"/>
              </w:numPr>
              <w:spacing w:before="0" w:after="0"/>
              <w:rPr>
                <w:sz w:val="18"/>
                <w:szCs w:val="18"/>
              </w:rPr>
            </w:pPr>
            <w:r>
              <w:rPr>
                <w:sz w:val="18"/>
                <w:szCs w:val="18"/>
              </w:rPr>
              <w:t>Emission factors from EPA AP-42, Chapter 13.2.4, Aggregated Handling and Storage Piles, was used to estimate the limestone fugitive emissions.</w:t>
            </w:r>
          </w:p>
          <w:p w:rsidR="00F157D6" w:rsidRPr="00F157D6" w:rsidRDefault="00F157D6" w:rsidP="004C6508">
            <w:pPr>
              <w:pStyle w:val="BodyText3"/>
              <w:widowControl w:val="0"/>
              <w:numPr>
                <w:ilvl w:val="0"/>
                <w:numId w:val="10"/>
              </w:numPr>
              <w:spacing w:before="0" w:after="0"/>
              <w:rPr>
                <w:sz w:val="18"/>
                <w:szCs w:val="18"/>
              </w:rPr>
            </w:pPr>
            <w:r>
              <w:rPr>
                <w:sz w:val="18"/>
                <w:szCs w:val="18"/>
              </w:rPr>
              <w:t>Emission factors from EPA AP-42, Chapter 13.2.1, Paved Roads, was used to estimate fugitive emission from vehicle traffic.  A 90% control efficiency</w:t>
            </w:r>
            <w:r w:rsidR="004C6508">
              <w:rPr>
                <w:sz w:val="18"/>
                <w:szCs w:val="18"/>
              </w:rPr>
              <w:t xml:space="preserve"> was assumed in reducing</w:t>
            </w:r>
            <w:r>
              <w:rPr>
                <w:sz w:val="18"/>
                <w:szCs w:val="18"/>
              </w:rPr>
              <w:t xml:space="preserve"> fugitive emissions from vehic</w:t>
            </w:r>
            <w:r w:rsidR="004C6508">
              <w:rPr>
                <w:sz w:val="18"/>
                <w:szCs w:val="18"/>
              </w:rPr>
              <w:t>ular</w:t>
            </w:r>
            <w:r>
              <w:rPr>
                <w:sz w:val="18"/>
                <w:szCs w:val="18"/>
              </w:rPr>
              <w:t xml:space="preserve"> traffic</w:t>
            </w:r>
            <w:r w:rsidR="004C6508">
              <w:rPr>
                <w:sz w:val="18"/>
                <w:szCs w:val="18"/>
              </w:rPr>
              <w:t xml:space="preserve"> areas</w:t>
            </w:r>
            <w:r>
              <w:rPr>
                <w:sz w:val="18"/>
                <w:szCs w:val="18"/>
              </w:rPr>
              <w:t>.</w:t>
            </w:r>
          </w:p>
        </w:tc>
      </w:tr>
    </w:tbl>
    <w:p w:rsidR="00A70824" w:rsidRDefault="004C6508" w:rsidP="00EF6618">
      <w:pPr>
        <w:pStyle w:val="BodyText3"/>
        <w:widowControl w:val="0"/>
        <w:rPr>
          <w:szCs w:val="22"/>
        </w:rPr>
      </w:pPr>
      <w:r>
        <w:rPr>
          <w:szCs w:val="22"/>
        </w:rPr>
        <w:t>The total annual PM</w:t>
      </w:r>
      <w:r w:rsidR="003B1396">
        <w:rPr>
          <w:szCs w:val="22"/>
        </w:rPr>
        <w:t>/</w:t>
      </w:r>
      <w:r>
        <w:rPr>
          <w:szCs w:val="22"/>
        </w:rPr>
        <w:t>PM</w:t>
      </w:r>
      <w:r w:rsidRPr="004C6508">
        <w:rPr>
          <w:szCs w:val="22"/>
          <w:vertAlign w:val="subscript"/>
        </w:rPr>
        <w:t>10</w:t>
      </w:r>
      <w:r>
        <w:rPr>
          <w:szCs w:val="22"/>
        </w:rPr>
        <w:t xml:space="preserve"> emissions were estimated to be 4.4 tons/year and 1.7 tons/year, respectively.  TEC will continue to use the current </w:t>
      </w:r>
      <w:r w:rsidR="003B1396">
        <w:rPr>
          <w:szCs w:val="22"/>
        </w:rPr>
        <w:t xml:space="preserve">emissions </w:t>
      </w:r>
      <w:r>
        <w:rPr>
          <w:szCs w:val="22"/>
        </w:rPr>
        <w:t xml:space="preserve">control </w:t>
      </w:r>
      <w:r w:rsidR="003B1396">
        <w:rPr>
          <w:szCs w:val="22"/>
        </w:rPr>
        <w:t>methods</w:t>
      </w:r>
      <w:r>
        <w:rPr>
          <w:szCs w:val="22"/>
        </w:rPr>
        <w:t xml:space="preserve"> to control fugitive emission from the project.</w:t>
      </w:r>
    </w:p>
    <w:p w:rsidR="00D157A0" w:rsidRPr="00F82BD0" w:rsidRDefault="00D157A0" w:rsidP="00F82BD0">
      <w:pPr>
        <w:pStyle w:val="ListParagraph"/>
        <w:numPr>
          <w:ilvl w:val="1"/>
          <w:numId w:val="8"/>
        </w:numPr>
        <w:spacing w:after="120"/>
        <w:ind w:left="720" w:hanging="720"/>
        <w:contextualSpacing w:val="0"/>
        <w:rPr>
          <w:b/>
          <w:sz w:val="22"/>
          <w:szCs w:val="22"/>
        </w:rPr>
      </w:pPr>
      <w:r w:rsidRPr="00F82BD0">
        <w:rPr>
          <w:b/>
          <w:sz w:val="22"/>
          <w:szCs w:val="22"/>
        </w:rPr>
        <w:t>NSPS Provisions</w:t>
      </w:r>
    </w:p>
    <w:p w:rsidR="00D157A0" w:rsidRDefault="00D157A0" w:rsidP="00EF6618">
      <w:pPr>
        <w:pStyle w:val="BodyText3"/>
        <w:widowControl w:val="0"/>
        <w:rPr>
          <w:szCs w:val="22"/>
        </w:rPr>
      </w:pPr>
      <w:r>
        <w:rPr>
          <w:szCs w:val="22"/>
        </w:rPr>
        <w:t>The existing solid fuel yard unloading and handling operations (EU 010)</w:t>
      </w:r>
      <w:r w:rsidR="00857A7F">
        <w:rPr>
          <w:szCs w:val="22"/>
        </w:rPr>
        <w:t xml:space="preserve"> and railcar unloading and conveying system (EU 047) are subject to Subparts A (General Provisions) and Y </w:t>
      </w:r>
      <w:r w:rsidR="00857A7F" w:rsidRPr="00AF4068">
        <w:rPr>
          <w:szCs w:val="22"/>
        </w:rPr>
        <w:t>(</w:t>
      </w:r>
      <w:r w:rsidR="00857A7F" w:rsidRPr="00857A7F">
        <w:rPr>
          <w:szCs w:val="22"/>
        </w:rPr>
        <w:t>Standards of Performance for Coal Preparation and Processing Plants</w:t>
      </w:r>
      <w:r w:rsidR="00857A7F" w:rsidRPr="00AF4068">
        <w:rPr>
          <w:szCs w:val="22"/>
        </w:rPr>
        <w:t>) of 40 CFR 60</w:t>
      </w:r>
      <w:r w:rsidR="00857A7F">
        <w:rPr>
          <w:szCs w:val="22"/>
        </w:rPr>
        <w:t xml:space="preserve">.  </w:t>
      </w:r>
      <w:r w:rsidR="00857A7F" w:rsidRPr="00467934">
        <w:rPr>
          <w:szCs w:val="22"/>
        </w:rPr>
        <w:t>The</w:t>
      </w:r>
      <w:r w:rsidR="00857A7F">
        <w:rPr>
          <w:szCs w:val="22"/>
        </w:rPr>
        <w:t>se</w:t>
      </w:r>
      <w:r w:rsidR="00857A7F" w:rsidRPr="00467934">
        <w:rPr>
          <w:szCs w:val="22"/>
        </w:rPr>
        <w:t xml:space="preserve"> </w:t>
      </w:r>
      <w:r w:rsidR="00857A7F">
        <w:rPr>
          <w:szCs w:val="22"/>
        </w:rPr>
        <w:t>existing emission units meet</w:t>
      </w:r>
      <w:r w:rsidR="00857A7F" w:rsidRPr="00467934">
        <w:rPr>
          <w:szCs w:val="22"/>
        </w:rPr>
        <w:t xml:space="preserve"> the applicable requirements of these subparts.</w:t>
      </w:r>
      <w:r w:rsidR="00857A7F">
        <w:rPr>
          <w:szCs w:val="22"/>
        </w:rPr>
        <w:t xml:space="preserve">  </w:t>
      </w:r>
    </w:p>
    <w:p w:rsidR="004C6508" w:rsidRPr="00F82BD0" w:rsidRDefault="00F82BD0" w:rsidP="00F82BD0">
      <w:pPr>
        <w:pStyle w:val="ListParagraph"/>
        <w:numPr>
          <w:ilvl w:val="1"/>
          <w:numId w:val="8"/>
        </w:numPr>
        <w:spacing w:after="120"/>
        <w:ind w:left="720" w:hanging="720"/>
        <w:contextualSpacing w:val="0"/>
        <w:rPr>
          <w:b/>
          <w:sz w:val="22"/>
          <w:szCs w:val="22"/>
        </w:rPr>
      </w:pPr>
      <w:r>
        <w:rPr>
          <w:b/>
          <w:sz w:val="22"/>
          <w:szCs w:val="22"/>
        </w:rPr>
        <w:t>State Provision</w:t>
      </w:r>
    </w:p>
    <w:p w:rsidR="00687633" w:rsidRDefault="00687633" w:rsidP="00687633">
      <w:pPr>
        <w:pStyle w:val="BodyText3"/>
        <w:widowControl w:val="0"/>
        <w:rPr>
          <w:szCs w:val="22"/>
        </w:rPr>
      </w:pPr>
      <w:r w:rsidRPr="006C5246">
        <w:rPr>
          <w:szCs w:val="22"/>
        </w:rPr>
        <w:t>Pursuant to Rule 62.4.040(1)(b)</w:t>
      </w:r>
      <w:r>
        <w:rPr>
          <w:szCs w:val="22"/>
        </w:rPr>
        <w:t xml:space="preserve">, </w:t>
      </w:r>
      <w:r w:rsidRPr="006C5246">
        <w:rPr>
          <w:szCs w:val="22"/>
        </w:rPr>
        <w:t xml:space="preserve">F.A.C., the </w:t>
      </w:r>
      <w:r>
        <w:rPr>
          <w:szCs w:val="22"/>
        </w:rPr>
        <w:t>Department</w:t>
      </w:r>
      <w:r w:rsidRPr="006C5246">
        <w:rPr>
          <w:szCs w:val="22"/>
        </w:rPr>
        <w:t xml:space="preserve"> determines that the </w:t>
      </w:r>
      <w:r>
        <w:rPr>
          <w:szCs w:val="22"/>
        </w:rPr>
        <w:t xml:space="preserve">proposed </w:t>
      </w:r>
      <w:r w:rsidRPr="006C5246">
        <w:rPr>
          <w:szCs w:val="22"/>
        </w:rPr>
        <w:t>activit</w:t>
      </w:r>
      <w:r>
        <w:rPr>
          <w:szCs w:val="22"/>
        </w:rPr>
        <w:t>ies</w:t>
      </w:r>
      <w:r w:rsidRPr="006C5246">
        <w:rPr>
          <w:szCs w:val="22"/>
        </w:rPr>
        <w:t xml:space="preserve"> will not emit air pollutants, </w:t>
      </w:r>
      <w:r w:rsidRPr="006C5246">
        <w:rPr>
          <w:i/>
          <w:szCs w:val="22"/>
        </w:rPr>
        <w:t>“… in sufficient quantity, with respect to its character, quality or content, and the circumstances surrounding its location, use and operation, as to contribute significantly to the pollution problems within the State, so that the regulation thereof is not reasonably justified.”</w:t>
      </w:r>
      <w:r w:rsidRPr="006C5246">
        <w:rPr>
          <w:szCs w:val="22"/>
        </w:rPr>
        <w:t xml:space="preserve">  Therefore, the project is exempt from the requirement to obtain an air construction permit</w:t>
      </w:r>
      <w:r>
        <w:rPr>
          <w:szCs w:val="22"/>
        </w:rPr>
        <w:t xml:space="preserve"> provided that the following conditions are met:</w:t>
      </w:r>
    </w:p>
    <w:p w:rsidR="00687633" w:rsidRDefault="00687633" w:rsidP="00687633">
      <w:pPr>
        <w:pStyle w:val="BodyText3"/>
        <w:widowControl w:val="0"/>
        <w:numPr>
          <w:ilvl w:val="0"/>
          <w:numId w:val="11"/>
        </w:numPr>
        <w:spacing w:before="0"/>
        <w:rPr>
          <w:szCs w:val="22"/>
        </w:rPr>
      </w:pPr>
      <w:r>
        <w:rPr>
          <w:szCs w:val="22"/>
        </w:rPr>
        <w:t>The permittee shall not exceed 105,000 tons of new limestone received by railcar and sea vessel, combined.</w:t>
      </w:r>
    </w:p>
    <w:p w:rsidR="00687633" w:rsidRDefault="00687633" w:rsidP="00687633">
      <w:pPr>
        <w:pStyle w:val="BodyText3"/>
        <w:widowControl w:val="0"/>
        <w:numPr>
          <w:ilvl w:val="0"/>
          <w:numId w:val="11"/>
        </w:numPr>
        <w:spacing w:before="0"/>
        <w:rPr>
          <w:szCs w:val="22"/>
        </w:rPr>
      </w:pPr>
      <w:r>
        <w:rPr>
          <w:szCs w:val="22"/>
        </w:rPr>
        <w:t xml:space="preserve">The permittee shall observe and record the total amount of limestone received from each shipment of limestone from the railcars and sea vessels.  Following each shipment of limestone by railcar or sea vessel, the permittee shall calculate a rolling total of the amount of limestone received to demonstrate compliance with the maximum permitted amount of limestone delivered by railcar and sea vessel, combined.  </w:t>
      </w:r>
    </w:p>
    <w:p w:rsidR="00687633" w:rsidRDefault="00687633" w:rsidP="00687633">
      <w:pPr>
        <w:pStyle w:val="BodyText3"/>
        <w:widowControl w:val="0"/>
        <w:numPr>
          <w:ilvl w:val="0"/>
          <w:numId w:val="11"/>
        </w:numPr>
        <w:spacing w:before="0"/>
        <w:rPr>
          <w:szCs w:val="22"/>
        </w:rPr>
      </w:pPr>
      <w:r w:rsidRPr="00804221">
        <w:rPr>
          <w:szCs w:val="22"/>
        </w:rPr>
        <w:t>The permittee shall notify the Compliance Authority in writing at least 15 days</w:t>
      </w:r>
      <w:r>
        <w:rPr>
          <w:szCs w:val="22"/>
        </w:rPr>
        <w:t>, or as soon as practical,</w:t>
      </w:r>
      <w:r w:rsidRPr="00804221">
        <w:rPr>
          <w:szCs w:val="22"/>
        </w:rPr>
        <w:t xml:space="preserve"> prior to</w:t>
      </w:r>
      <w:r>
        <w:rPr>
          <w:szCs w:val="22"/>
        </w:rPr>
        <w:t xml:space="preserve"> receiving the initial shipment of limestone by railcar and by sea vessel.</w:t>
      </w:r>
    </w:p>
    <w:p w:rsidR="004C6508" w:rsidRPr="00026723" w:rsidRDefault="00687633" w:rsidP="00687633">
      <w:pPr>
        <w:pStyle w:val="BodyText3"/>
        <w:widowControl w:val="0"/>
        <w:rPr>
          <w:szCs w:val="22"/>
        </w:rPr>
      </w:pPr>
      <w:r w:rsidRPr="006C5246">
        <w:rPr>
          <w:szCs w:val="22"/>
        </w:rPr>
        <w:t xml:space="preserve">This determination may be </w:t>
      </w:r>
      <w:r>
        <w:rPr>
          <w:szCs w:val="22"/>
        </w:rPr>
        <w:t>revoked if the proposed activities are</w:t>
      </w:r>
      <w:r w:rsidRPr="006C5246">
        <w:rPr>
          <w:szCs w:val="22"/>
        </w:rPr>
        <w:t xml:space="preserve"> substantially modified or the basis for the exemption is determined to be materially incorrect.  A copy of this letter shall be maintained at the site of the proposed activity.  This permitting decision is made pursuant to Chapter 403, Florida Statutes.  </w:t>
      </w:r>
    </w:p>
    <w:p w:rsidR="00193F10" w:rsidRPr="000B4B28" w:rsidRDefault="00F11368" w:rsidP="00F82BD0">
      <w:pPr>
        <w:pStyle w:val="ListParagraph"/>
        <w:numPr>
          <w:ilvl w:val="0"/>
          <w:numId w:val="8"/>
        </w:numPr>
        <w:spacing w:after="120"/>
        <w:ind w:left="720" w:hanging="720"/>
        <w:contextualSpacing w:val="0"/>
        <w:rPr>
          <w:b/>
          <w:caps/>
          <w:sz w:val="22"/>
        </w:rPr>
      </w:pPr>
      <w:r>
        <w:rPr>
          <w:b/>
          <w:caps/>
          <w:sz w:val="22"/>
        </w:rPr>
        <w:t>Conclusion</w:t>
      </w:r>
    </w:p>
    <w:p w:rsidR="00193F10" w:rsidRDefault="00304176" w:rsidP="004D1D9F">
      <w:pPr>
        <w:widowControl w:val="0"/>
        <w:spacing w:after="120"/>
        <w:rPr>
          <w:sz w:val="22"/>
        </w:rPr>
      </w:pPr>
      <w:r w:rsidRPr="00304176">
        <w:rPr>
          <w:sz w:val="22"/>
          <w:szCs w:val="22"/>
        </w:rPr>
        <w:t>Pursuant to Rule 62.4.040(1)(b) of the Florida Administ</w:t>
      </w:r>
      <w:bookmarkStart w:id="6" w:name="_GoBack"/>
      <w:bookmarkEnd w:id="6"/>
      <w:r w:rsidRPr="00304176">
        <w:rPr>
          <w:sz w:val="22"/>
          <w:szCs w:val="22"/>
        </w:rPr>
        <w:t xml:space="preserve">rative Code (F.A.C.) and for the reasons </w:t>
      </w:r>
      <w:r>
        <w:rPr>
          <w:sz w:val="22"/>
          <w:szCs w:val="22"/>
        </w:rPr>
        <w:t xml:space="preserve">previously </w:t>
      </w:r>
      <w:r w:rsidRPr="00304176">
        <w:rPr>
          <w:sz w:val="22"/>
          <w:szCs w:val="22"/>
        </w:rPr>
        <w:t xml:space="preserve">stated, the </w:t>
      </w:r>
      <w:r w:rsidR="00884EEB">
        <w:rPr>
          <w:sz w:val="22"/>
          <w:szCs w:val="22"/>
        </w:rPr>
        <w:t xml:space="preserve">Office of Permitting and Compliance </w:t>
      </w:r>
      <w:r w:rsidRPr="00304176">
        <w:rPr>
          <w:sz w:val="22"/>
          <w:szCs w:val="22"/>
        </w:rPr>
        <w:t xml:space="preserve">determines that the activity will not emit air pollutants, “… in sufficient quantity, with respect to its character, quality or content, and the circumstances surrounding its location, use and operation, as to contribute significantly to the pollution problems within the State, so that the regulation thereof is not reasonably justified.”  Therefore, the project is exempt from the requirement to obtain an air construction </w:t>
      </w:r>
      <w:r w:rsidRPr="00304176">
        <w:rPr>
          <w:sz w:val="22"/>
          <w:szCs w:val="22"/>
        </w:rPr>
        <w:lastRenderedPageBreak/>
        <w:t>permit.  This determination may be revoked if the proposed activity is substantially modified or the basis for the exemption is determined to be materially incorrect.</w:t>
      </w:r>
      <w:r w:rsidR="00193F10" w:rsidRPr="00304176">
        <w:rPr>
          <w:sz w:val="22"/>
          <w:szCs w:val="22"/>
        </w:rPr>
        <w:t xml:space="preserve">  </w:t>
      </w:r>
      <w:r w:rsidR="00EF6618" w:rsidRPr="00B97DE7">
        <w:rPr>
          <w:sz w:val="22"/>
        </w:rPr>
        <w:t xml:space="preserve">Tammy McWade is the project engineer responsible for reviewing the application and drafting the permit.  Additional details of this analysis may be obtained by contacting the project engineer at the Department’s Office of Permitting and Compliance at Mail Station #5505, 2600 Blairstone Road, Tallahassee, Florida  32399-2400, by phone at (850) 717-9086 or by email at </w:t>
      </w:r>
      <w:hyperlink r:id="rId12" w:history="1">
        <w:r w:rsidR="00EF6618" w:rsidRPr="00B97DE7">
          <w:rPr>
            <w:rStyle w:val="Hyperlink"/>
            <w:sz w:val="22"/>
          </w:rPr>
          <w:t>tammy.mcwade@dep.state.fl.us</w:t>
        </w:r>
      </w:hyperlink>
      <w:r w:rsidR="00EF6618" w:rsidRPr="00B97DE7">
        <w:rPr>
          <w:sz w:val="22"/>
        </w:rPr>
        <w:t>.</w:t>
      </w:r>
    </w:p>
    <w:sectPr w:rsidR="00193F10" w:rsidSect="00955781">
      <w:headerReference w:type="default" r:id="rId13"/>
      <w:footerReference w:type="default" r:id="rId14"/>
      <w:headerReference w:type="first" r:id="rId15"/>
      <w:footerReference w:type="first" r:id="rId16"/>
      <w:pgSz w:w="12240" w:h="15840" w:code="1"/>
      <w:pgMar w:top="720" w:right="1080" w:bottom="72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2375" w:rsidRDefault="00462375">
      <w:r>
        <w:separator/>
      </w:r>
    </w:p>
  </w:endnote>
  <w:endnote w:type="continuationSeparator" w:id="0">
    <w:p w:rsidR="00462375" w:rsidRDefault="00462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6618" w:rsidRPr="00C02BEB" w:rsidRDefault="00EF6618" w:rsidP="00EF6618">
    <w:pPr>
      <w:pBdr>
        <w:top w:val="single" w:sz="6" w:space="1" w:color="auto"/>
      </w:pBdr>
      <w:tabs>
        <w:tab w:val="right" w:pos="10080"/>
      </w:tabs>
      <w:spacing w:before="240"/>
      <w:rPr>
        <w:rStyle w:val="PageNumber"/>
        <w:highlight w:val="yellow"/>
      </w:rPr>
    </w:pPr>
    <w:r>
      <w:rPr>
        <w:rStyle w:val="PageNumber"/>
      </w:rPr>
      <w:t>Tampa Electric Company</w:t>
    </w:r>
    <w:r w:rsidRPr="00C02BEB">
      <w:rPr>
        <w:rStyle w:val="PageNumber"/>
      </w:rPr>
      <w:tab/>
    </w:r>
    <w:r w:rsidRPr="00B97DE7">
      <w:rPr>
        <w:rStyle w:val="PageNumber"/>
      </w:rPr>
      <w:t>Project No. 0570039-07</w:t>
    </w:r>
    <w:r>
      <w:rPr>
        <w:rStyle w:val="PageNumber"/>
      </w:rPr>
      <w:t>7</w:t>
    </w:r>
    <w:r w:rsidRPr="00B97DE7">
      <w:rPr>
        <w:rStyle w:val="PageNumber"/>
      </w:rPr>
      <w:t>-AC</w:t>
    </w:r>
  </w:p>
  <w:p w:rsidR="00EF6618" w:rsidRPr="00C02BEB" w:rsidRDefault="00EF6618" w:rsidP="00EF6618">
    <w:pPr>
      <w:pBdr>
        <w:top w:val="single" w:sz="6" w:space="1" w:color="auto"/>
      </w:pBdr>
      <w:tabs>
        <w:tab w:val="right" w:pos="10080"/>
      </w:tabs>
      <w:rPr>
        <w:rStyle w:val="PageNumber"/>
      </w:rPr>
    </w:pPr>
    <w:r>
      <w:rPr>
        <w:rStyle w:val="PageNumber"/>
      </w:rPr>
      <w:t>Big Bend Station</w:t>
    </w:r>
    <w:r w:rsidRPr="00C02BEB">
      <w:rPr>
        <w:rStyle w:val="PageNumber"/>
      </w:rPr>
      <w:tab/>
    </w:r>
    <w:r>
      <w:rPr>
        <w:rStyle w:val="PageNumber"/>
      </w:rPr>
      <w:t>Temporary Unloading of New Limestone</w:t>
    </w:r>
  </w:p>
  <w:p w:rsidR="00617209" w:rsidRDefault="00617209">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F82BD0">
      <w:rPr>
        <w:rStyle w:val="PageNumber"/>
        <w:noProof/>
      </w:rPr>
      <w:t>6</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F82BD0">
      <w:rPr>
        <w:rStyle w:val="PageNumber"/>
        <w:noProof/>
      </w:rPr>
      <w:t>7</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209" w:rsidRDefault="006172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2375" w:rsidRDefault="00462375">
      <w:r>
        <w:separator/>
      </w:r>
    </w:p>
  </w:footnote>
  <w:footnote w:type="continuationSeparator" w:id="0">
    <w:p w:rsidR="00462375" w:rsidRDefault="004623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209" w:rsidRDefault="007E5CA3">
    <w:pPr>
      <w:pStyle w:val="Header"/>
      <w:pBdr>
        <w:bottom w:val="single" w:sz="6" w:space="1" w:color="auto"/>
      </w:pBdr>
      <w:spacing w:after="240"/>
      <w:jc w:val="center"/>
      <w:rPr>
        <w:b/>
        <w:caps/>
        <w:sz w:val="22"/>
        <w:u w:val="single"/>
      </w:rPr>
    </w:pPr>
    <w:r>
      <w:rPr>
        <w:b/>
        <w:caps/>
        <w:sz w:val="22"/>
      </w:rPr>
      <w:t>TECHNICAL EVALUATIO</w:t>
    </w:r>
    <w:r w:rsidR="00F11368">
      <w:rPr>
        <w:b/>
        <w:caps/>
        <w:sz w:val="22"/>
      </w:rPr>
      <w:t>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209" w:rsidRDefault="0061720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75552A8"/>
    <w:multiLevelType w:val="hybridMultilevel"/>
    <w:tmpl w:val="46967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B296BEC"/>
    <w:multiLevelType w:val="multilevel"/>
    <w:tmpl w:val="1F348A36"/>
    <w:lvl w:ilvl="0">
      <w:start w:val="1"/>
      <w:numFmt w:val="decimal"/>
      <w:lvlText w:val="%1."/>
      <w:lvlJc w:val="left"/>
      <w:pPr>
        <w:ind w:left="360" w:hanging="360"/>
      </w:pPr>
      <w:rPr>
        <w:rFonts w:hint="default"/>
      </w:rPr>
    </w:lvl>
    <w:lvl w:ilvl="1">
      <w:start w:val="1"/>
      <w:numFmt w:val="decimal"/>
      <w:lvlText w:val="%1.%2."/>
      <w:lvlJc w:val="left"/>
      <w:pPr>
        <w:ind w:left="792" w:hanging="432"/>
      </w:pPr>
      <w:rPr>
        <w:b/>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E42357D"/>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51F473A"/>
    <w:multiLevelType w:val="hybridMultilevel"/>
    <w:tmpl w:val="7B085B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6B7B26E6"/>
    <w:multiLevelType w:val="hybridMultilevel"/>
    <w:tmpl w:val="15DAA08A"/>
    <w:lvl w:ilvl="0" w:tplc="5204B906">
      <w:start w:val="1"/>
      <w:numFmt w:val="decimal"/>
      <w:lvlText w:val="%1."/>
      <w:lvlJc w:val="left"/>
      <w:pPr>
        <w:ind w:left="360" w:hanging="360"/>
      </w:pPr>
      <w:rPr>
        <w:rFonts w:hint="default"/>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71117896"/>
    <w:multiLevelType w:val="hybridMultilevel"/>
    <w:tmpl w:val="5420A0AE"/>
    <w:lvl w:ilvl="0" w:tplc="7C5EA7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0"/>
  </w:num>
  <w:num w:numId="3">
    <w:abstractNumId w:val="0"/>
  </w:num>
  <w:num w:numId="4">
    <w:abstractNumId w:val="3"/>
  </w:num>
  <w:num w:numId="5">
    <w:abstractNumId w:val="6"/>
  </w:num>
  <w:num w:numId="6">
    <w:abstractNumId w:val="1"/>
  </w:num>
  <w:num w:numId="7">
    <w:abstractNumId w:val="2"/>
  </w:num>
  <w:num w:numId="8">
    <w:abstractNumId w:val="4"/>
  </w:num>
  <w:num w:numId="9">
    <w:abstractNumId w:val="9"/>
  </w:num>
  <w:num w:numId="10">
    <w:abstractNumId w:val="8"/>
  </w:num>
  <w:num w:numId="11">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26723"/>
    <w:rsid w:val="000B3948"/>
    <w:rsid w:val="000B4B28"/>
    <w:rsid w:val="000C5143"/>
    <w:rsid w:val="000E42D3"/>
    <w:rsid w:val="00111453"/>
    <w:rsid w:val="00140CD4"/>
    <w:rsid w:val="00166364"/>
    <w:rsid w:val="001771DC"/>
    <w:rsid w:val="00193F10"/>
    <w:rsid w:val="00194AA6"/>
    <w:rsid w:val="001C4E37"/>
    <w:rsid w:val="001D1649"/>
    <w:rsid w:val="001D487F"/>
    <w:rsid w:val="001E2CD6"/>
    <w:rsid w:val="00201860"/>
    <w:rsid w:val="002225DD"/>
    <w:rsid w:val="002A28C2"/>
    <w:rsid w:val="002F0E6E"/>
    <w:rsid w:val="00302267"/>
    <w:rsid w:val="00304176"/>
    <w:rsid w:val="0032753D"/>
    <w:rsid w:val="0033363A"/>
    <w:rsid w:val="00346552"/>
    <w:rsid w:val="00362B27"/>
    <w:rsid w:val="00370256"/>
    <w:rsid w:val="003858DE"/>
    <w:rsid w:val="0039482F"/>
    <w:rsid w:val="003A3C29"/>
    <w:rsid w:val="003B1396"/>
    <w:rsid w:val="003B1E0A"/>
    <w:rsid w:val="003E683A"/>
    <w:rsid w:val="003F1AFB"/>
    <w:rsid w:val="00401715"/>
    <w:rsid w:val="0040283C"/>
    <w:rsid w:val="0043123B"/>
    <w:rsid w:val="004414F2"/>
    <w:rsid w:val="00446FE7"/>
    <w:rsid w:val="00462375"/>
    <w:rsid w:val="004B5185"/>
    <w:rsid w:val="004C0984"/>
    <w:rsid w:val="004C6508"/>
    <w:rsid w:val="004D1D9F"/>
    <w:rsid w:val="004E48C8"/>
    <w:rsid w:val="00556ED1"/>
    <w:rsid w:val="00567D37"/>
    <w:rsid w:val="005E36E4"/>
    <w:rsid w:val="00617209"/>
    <w:rsid w:val="0065214A"/>
    <w:rsid w:val="00684184"/>
    <w:rsid w:val="00686486"/>
    <w:rsid w:val="00687633"/>
    <w:rsid w:val="006A0603"/>
    <w:rsid w:val="006A75AC"/>
    <w:rsid w:val="006B6EFE"/>
    <w:rsid w:val="006D211A"/>
    <w:rsid w:val="006E1EE7"/>
    <w:rsid w:val="00701FEF"/>
    <w:rsid w:val="00741F1A"/>
    <w:rsid w:val="00762E18"/>
    <w:rsid w:val="007747AA"/>
    <w:rsid w:val="00782ABD"/>
    <w:rsid w:val="00786837"/>
    <w:rsid w:val="007E5CA3"/>
    <w:rsid w:val="007F7B7E"/>
    <w:rsid w:val="00835018"/>
    <w:rsid w:val="00857A7F"/>
    <w:rsid w:val="008603FF"/>
    <w:rsid w:val="0086306E"/>
    <w:rsid w:val="008673D3"/>
    <w:rsid w:val="00884EEB"/>
    <w:rsid w:val="008E6ADB"/>
    <w:rsid w:val="00915F63"/>
    <w:rsid w:val="0092472B"/>
    <w:rsid w:val="0093238E"/>
    <w:rsid w:val="00955781"/>
    <w:rsid w:val="009A5405"/>
    <w:rsid w:val="009B32D2"/>
    <w:rsid w:val="009F322E"/>
    <w:rsid w:val="00A70824"/>
    <w:rsid w:val="00A938D5"/>
    <w:rsid w:val="00A948F3"/>
    <w:rsid w:val="00AB2BAD"/>
    <w:rsid w:val="00B103DE"/>
    <w:rsid w:val="00B7612C"/>
    <w:rsid w:val="00BB1087"/>
    <w:rsid w:val="00BC5729"/>
    <w:rsid w:val="00BE0F0E"/>
    <w:rsid w:val="00C02BEB"/>
    <w:rsid w:val="00C06C6D"/>
    <w:rsid w:val="00C502D1"/>
    <w:rsid w:val="00C568D4"/>
    <w:rsid w:val="00C66E7D"/>
    <w:rsid w:val="00C7510F"/>
    <w:rsid w:val="00CE25CD"/>
    <w:rsid w:val="00D07B72"/>
    <w:rsid w:val="00D157A0"/>
    <w:rsid w:val="00D1773B"/>
    <w:rsid w:val="00D24F36"/>
    <w:rsid w:val="00D262B1"/>
    <w:rsid w:val="00D4398E"/>
    <w:rsid w:val="00D51D78"/>
    <w:rsid w:val="00D727AB"/>
    <w:rsid w:val="00DA4D8D"/>
    <w:rsid w:val="00DB4E11"/>
    <w:rsid w:val="00E42819"/>
    <w:rsid w:val="00E50051"/>
    <w:rsid w:val="00E607EE"/>
    <w:rsid w:val="00E720DA"/>
    <w:rsid w:val="00E84B3B"/>
    <w:rsid w:val="00E86857"/>
    <w:rsid w:val="00EC344E"/>
    <w:rsid w:val="00EE6112"/>
    <w:rsid w:val="00EF6618"/>
    <w:rsid w:val="00F11368"/>
    <w:rsid w:val="00F157D6"/>
    <w:rsid w:val="00F3204F"/>
    <w:rsid w:val="00F71458"/>
    <w:rsid w:val="00F77D22"/>
    <w:rsid w:val="00F82B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9217"/>
    <o:shapelayout v:ext="edit">
      <o:idmap v:ext="edit" data="1"/>
    </o:shapelayout>
  </w:shapeDefaults>
  <w:decimalSymbol w:val="."/>
  <w:listSeparator w:val=","/>
  <w15:docId w15:val="{C1FA9583-86FC-4FE0-AA0C-F810AFBB7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spacing w:after="120"/>
      <w:ind w:left="634"/>
      <w:outlineLvl w:val="0"/>
    </w:pPr>
    <w:rPr>
      <w:sz w:val="28"/>
    </w:rPr>
  </w:style>
  <w:style w:type="paragraph" w:styleId="Heading2">
    <w:name w:val="heading 2"/>
    <w:basedOn w:val="Normal"/>
    <w:next w:val="Normal"/>
    <w:qFormat/>
    <w:pPr>
      <w:keepNext/>
      <w:ind w:left="630"/>
      <w:outlineLvl w:val="1"/>
    </w:pPr>
    <w:rPr>
      <w:i/>
      <w:sz w:val="23"/>
    </w:rPr>
  </w:style>
  <w:style w:type="paragraph" w:styleId="Heading3">
    <w:name w:val="heading 3"/>
    <w:basedOn w:val="Normal"/>
    <w:next w:val="Normal"/>
    <w:qFormat/>
    <w:pPr>
      <w:keepNext/>
      <w:jc w:val="center"/>
      <w:outlineLvl w:val="2"/>
    </w:pPr>
    <w:rPr>
      <w:sz w:val="28"/>
    </w:rPr>
  </w:style>
  <w:style w:type="paragraph" w:styleId="Heading4">
    <w:name w:val="heading 4"/>
    <w:basedOn w:val="Normal"/>
    <w:next w:val="Normal"/>
    <w:qFormat/>
    <w:pPr>
      <w:keepNext/>
      <w:jc w:val="center"/>
      <w:outlineLvl w:val="3"/>
    </w:pPr>
    <w:rPr>
      <w:b/>
      <w:sz w:val="22"/>
    </w:rPr>
  </w:style>
  <w:style w:type="paragraph" w:styleId="Heading5">
    <w:name w:val="heading 5"/>
    <w:basedOn w:val="Normal"/>
    <w:next w:val="Normal"/>
    <w:qFormat/>
    <w:pPr>
      <w:keepNext/>
      <w:spacing w:after="120"/>
      <w:ind w:left="720"/>
      <w:outlineLvl w:val="4"/>
    </w:pPr>
    <w:rPr>
      <w:b/>
      <w:sz w:val="22"/>
    </w:rPr>
  </w:style>
  <w:style w:type="paragraph" w:styleId="Heading6">
    <w:name w:val="heading 6"/>
    <w:basedOn w:val="Normal"/>
    <w:next w:val="Normal"/>
    <w:qFormat/>
    <w:pPr>
      <w:keepNext/>
      <w:jc w:val="center"/>
      <w:outlineLvl w:val="5"/>
    </w:pPr>
    <w:rPr>
      <w:b/>
      <w:sz w:val="24"/>
    </w:rPr>
  </w:style>
  <w:style w:type="paragraph" w:styleId="Heading7">
    <w:name w:val="heading 7"/>
    <w:basedOn w:val="Normal"/>
    <w:next w:val="Normal"/>
    <w:qFormat/>
    <w:pPr>
      <w:keepNext/>
      <w:tabs>
        <w:tab w:val="right" w:pos="9648"/>
      </w:tabs>
      <w:spacing w:after="120" w:line="240" w:lineRule="exact"/>
      <w:ind w:left="630"/>
      <w:outlineLvl w:val="6"/>
    </w:pPr>
    <w:rPr>
      <w:b/>
      <w:sz w:val="22"/>
    </w:rPr>
  </w:style>
  <w:style w:type="paragraph" w:styleId="Heading8">
    <w:name w:val="heading 8"/>
    <w:basedOn w:val="Normal"/>
    <w:next w:val="Normal"/>
    <w:qFormat/>
    <w:pPr>
      <w:keepNext/>
      <w:spacing w:after="120"/>
      <w:outlineLvl w:val="7"/>
    </w:pPr>
    <w:rPr>
      <w:b/>
      <w:caps/>
      <w:sz w:val="22"/>
    </w:rPr>
  </w:style>
  <w:style w:type="paragraph" w:styleId="Heading9">
    <w:name w:val="heading 9"/>
    <w:basedOn w:val="Normal"/>
    <w:next w:val="Normal"/>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Footer">
    <w:name w:val="footer"/>
    <w:basedOn w:val="Normal"/>
    <w:pPr>
      <w:tabs>
        <w:tab w:val="center" w:pos="4320"/>
        <w:tab w:val="right" w:pos="8640"/>
      </w:tabs>
    </w:pPr>
  </w:style>
  <w:style w:type="paragraph" w:styleId="BodyTextIndent">
    <w:name w:val="Body Text Indent"/>
    <w:basedOn w:val="Normal"/>
    <w:pPr>
      <w:spacing w:after="120"/>
      <w:ind w:left="634"/>
    </w:pPr>
    <w:rPr>
      <w:sz w:val="24"/>
    </w:rPr>
  </w:style>
  <w:style w:type="paragraph" w:styleId="BodyTextIndent2">
    <w:name w:val="Body Text Indent 2"/>
    <w:basedOn w:val="Normal"/>
    <w:pPr>
      <w:tabs>
        <w:tab w:val="left" w:pos="630"/>
      </w:tabs>
      <w:spacing w:after="120"/>
      <w:ind w:left="630"/>
    </w:pPr>
    <w:rPr>
      <w:sz w:val="24"/>
    </w:rPr>
  </w:style>
  <w:style w:type="paragraph" w:styleId="BodyTextIndent3">
    <w:name w:val="Body Text Indent 3"/>
    <w:basedOn w:val="Normal"/>
    <w:pPr>
      <w:spacing w:before="240" w:after="120"/>
      <w:ind w:left="634"/>
      <w:jc w:val="center"/>
    </w:pPr>
    <w:rPr>
      <w:caps/>
      <w:sz w:val="24"/>
    </w:rPr>
  </w:style>
  <w:style w:type="paragraph" w:styleId="BodyText2">
    <w:name w:val="Body Text 2"/>
    <w:basedOn w:val="Normal"/>
    <w:pPr>
      <w:numPr>
        <w:ilvl w:val="12"/>
      </w:numPr>
      <w:spacing w:after="120"/>
      <w:jc w:val="both"/>
    </w:pPr>
    <w:rPr>
      <w:sz w:val="22"/>
    </w:rPr>
  </w:style>
  <w:style w:type="paragraph" w:styleId="Title">
    <w:name w:val="Title"/>
    <w:basedOn w:val="Normal"/>
    <w:qFormat/>
    <w:pPr>
      <w:jc w:val="center"/>
    </w:pPr>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paragraph" w:styleId="BodyText3">
    <w:name w:val="Body Text 3"/>
    <w:basedOn w:val="Normal"/>
    <w:pPr>
      <w:spacing w:before="120" w:after="120"/>
    </w:pPr>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rPr>
      <w:color w:val="0000FF"/>
      <w:u w:val="single"/>
    </w:rPr>
  </w:style>
  <w:style w:type="paragraph" w:customStyle="1" w:styleId="SCATableHeading">
    <w:name w:val="SCA Table Heading"/>
    <w:basedOn w:val="Normal"/>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EF6618"/>
    <w:rPr>
      <w:sz w:val="24"/>
    </w:rPr>
  </w:style>
  <w:style w:type="paragraph" w:styleId="Caption">
    <w:name w:val="caption"/>
    <w:basedOn w:val="Normal"/>
    <w:next w:val="Normal"/>
    <w:unhideWhenUsed/>
    <w:qFormat/>
    <w:rsid w:val="00EF6618"/>
    <w:rPr>
      <w:b/>
      <w:bCs/>
    </w:rPr>
  </w:style>
  <w:style w:type="table" w:styleId="TableGrid">
    <w:name w:val="Table Grid"/>
    <w:basedOn w:val="TableNormal"/>
    <w:rsid w:val="004017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26723"/>
    <w:pPr>
      <w:ind w:left="720"/>
      <w:contextualSpacing/>
    </w:pPr>
  </w:style>
  <w:style w:type="paragraph" w:styleId="BalloonText">
    <w:name w:val="Balloon Text"/>
    <w:basedOn w:val="Normal"/>
    <w:link w:val="BalloonTextChar"/>
    <w:rsid w:val="00687633"/>
    <w:pPr>
      <w:ind w:left="403" w:hanging="403"/>
    </w:pPr>
    <w:rPr>
      <w:rFonts w:ascii="Tahoma" w:hAnsi="Tahoma" w:cs="Tahoma"/>
      <w:sz w:val="16"/>
      <w:szCs w:val="16"/>
    </w:rPr>
  </w:style>
  <w:style w:type="character" w:customStyle="1" w:styleId="BalloonTextChar">
    <w:name w:val="Balloon Text Char"/>
    <w:basedOn w:val="DefaultParagraphFont"/>
    <w:link w:val="BalloonText"/>
    <w:rsid w:val="0068763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tammy.mcwade@dep.state.fl.u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3A66D5-14F1-4F23-86A9-FFA6E3614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7</Pages>
  <Words>2616</Words>
  <Characters>15055</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17636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8</cp:revision>
  <cp:lastPrinted>2015-02-20T20:04:00Z</cp:lastPrinted>
  <dcterms:created xsi:type="dcterms:W3CDTF">2015-02-19T18:30:00Z</dcterms:created>
  <dcterms:modified xsi:type="dcterms:W3CDTF">2015-02-24T19:15:00Z</dcterms:modified>
</cp:coreProperties>
</file>